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wordWrap w:val="0"/>
        <w:spacing w:line="240" w:lineRule="atLeast"/>
        <w:jc w:val="right"/>
        <w:outlineLvl w:val="0"/>
        <w:rPr>
          <w:rFonts w:ascii="宋体" w:hAnsi="宋体" w:eastAsia="宋体" w:cs="宋体"/>
          <w:b/>
          <w:color w:val="auto"/>
          <w:sz w:val="44"/>
          <w:szCs w:val="44"/>
          <w:highlight w:val="none"/>
        </w:rPr>
      </w:pPr>
      <w:bookmarkStart w:id="0" w:name="_Toc443898901"/>
    </w:p>
    <w:p>
      <w:pPr>
        <w:pStyle w:val="2"/>
        <w:ind w:firstLine="883"/>
        <w:rPr>
          <w:rFonts w:eastAsia="宋体"/>
          <w:b/>
          <w:color w:val="auto"/>
          <w:sz w:val="44"/>
          <w:szCs w:val="44"/>
          <w:highlight w:val="none"/>
        </w:rPr>
      </w:pPr>
    </w:p>
    <w:p>
      <w:pPr>
        <w:pStyle w:val="2"/>
        <w:ind w:firstLine="883"/>
        <w:rPr>
          <w:rFonts w:eastAsia="宋体"/>
          <w:b/>
          <w:color w:val="auto"/>
          <w:sz w:val="44"/>
          <w:szCs w:val="44"/>
          <w:highlight w:val="none"/>
        </w:rPr>
      </w:pPr>
    </w:p>
    <w:p>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济宁</w:t>
      </w:r>
      <w:r>
        <w:rPr>
          <w:rFonts w:hint="eastAsia" w:ascii="宋体" w:hAnsi="宋体" w:eastAsia="宋体" w:cs="宋体"/>
          <w:b/>
          <w:color w:val="auto"/>
          <w:sz w:val="52"/>
          <w:szCs w:val="52"/>
          <w:highlight w:val="none"/>
          <w:lang w:val="en-US" w:eastAsia="zh-CN"/>
        </w:rPr>
        <w:t>医学院太白湖校区消防系统维保、零星消防工程施工服务项目（A包）</w:t>
      </w:r>
    </w:p>
    <w:p>
      <w:pPr>
        <w:spacing w:line="360" w:lineRule="auto"/>
        <w:rPr>
          <w:rFonts w:ascii="宋体" w:hAnsi="宋体" w:eastAsia="宋体" w:cs="宋体"/>
          <w:b/>
          <w:color w:val="auto"/>
          <w:sz w:val="24"/>
          <w:highlight w:val="none"/>
        </w:rPr>
      </w:pPr>
    </w:p>
    <w:p>
      <w:pPr>
        <w:pStyle w:val="2"/>
        <w:rPr>
          <w:color w:val="auto"/>
          <w:highlight w:val="none"/>
        </w:rPr>
      </w:pPr>
    </w:p>
    <w:p>
      <w:pPr>
        <w:pStyle w:val="2"/>
        <w:ind w:left="0" w:leftChars="0" w:firstLine="0" w:firstLineChars="0"/>
        <w:rPr>
          <w:color w:val="auto"/>
          <w:highlight w:val="none"/>
        </w:rPr>
      </w:pPr>
    </w:p>
    <w:p>
      <w:pPr>
        <w:spacing w:line="360" w:lineRule="auto"/>
        <w:jc w:val="center"/>
        <w:rPr>
          <w:rFonts w:ascii="宋体" w:hAnsi="宋体" w:eastAsia="宋体" w:cs="宋体"/>
          <w:b/>
          <w:color w:val="auto"/>
          <w:sz w:val="96"/>
          <w:szCs w:val="144"/>
          <w:highlight w:val="none"/>
        </w:rPr>
      </w:pPr>
      <w:r>
        <w:rPr>
          <w:rFonts w:hint="eastAsia" w:ascii="宋体" w:hAnsi="宋体" w:eastAsia="宋体" w:cs="宋体"/>
          <w:b/>
          <w:color w:val="auto"/>
          <w:sz w:val="52"/>
          <w:szCs w:val="52"/>
          <w:highlight w:val="none"/>
        </w:rPr>
        <w:t>竞争性磋商文件</w:t>
      </w:r>
    </w:p>
    <w:p>
      <w:pPr>
        <w:widowControl/>
        <w:spacing w:line="360" w:lineRule="auto"/>
        <w:jc w:val="center"/>
        <w:rPr>
          <w:rFonts w:ascii="宋体" w:hAnsi="宋体" w:eastAsia="宋体" w:cs="宋体"/>
          <w:b/>
          <w:color w:val="auto"/>
          <w:sz w:val="24"/>
          <w:highlight w:val="none"/>
        </w:rPr>
      </w:pPr>
    </w:p>
    <w:p>
      <w:pPr>
        <w:widowControl/>
        <w:spacing w:line="360" w:lineRule="auto"/>
        <w:jc w:val="center"/>
        <w:rPr>
          <w:rFonts w:hint="eastAsia" w:ascii="宋体" w:hAnsi="宋体" w:eastAsia="宋体" w:cs="宋体"/>
          <w:b/>
          <w:bCs/>
          <w:color w:val="auto"/>
          <w:sz w:val="100"/>
          <w:szCs w:val="110"/>
          <w:highlight w:val="none"/>
          <w:lang w:eastAsia="zh-CN"/>
        </w:rPr>
      </w:pPr>
      <w:r>
        <w:rPr>
          <w:rFonts w:hint="eastAsia" w:ascii="宋体" w:hAnsi="宋体" w:eastAsia="宋体" w:cs="宋体"/>
          <w:b/>
          <w:color w:val="auto"/>
          <w:sz w:val="36"/>
          <w:szCs w:val="36"/>
          <w:highlight w:val="none"/>
        </w:rPr>
        <w:t>项目编号:</w:t>
      </w:r>
      <w:r>
        <w:rPr>
          <w:rFonts w:hint="eastAsia" w:ascii="宋体" w:hAnsi="宋体" w:eastAsia="宋体" w:cs="宋体"/>
          <w:color w:val="auto"/>
          <w:sz w:val="48"/>
          <w:szCs w:val="48"/>
          <w:highlight w:val="none"/>
        </w:rPr>
        <w:t xml:space="preserve"> </w:t>
      </w:r>
      <w:r>
        <w:rPr>
          <w:rFonts w:hint="eastAsia" w:ascii="宋体" w:hAnsi="宋体" w:eastAsia="宋体" w:cs="宋体"/>
          <w:b/>
          <w:color w:val="auto"/>
          <w:sz w:val="36"/>
          <w:szCs w:val="36"/>
          <w:highlight w:val="none"/>
          <w:lang w:eastAsia="zh-CN"/>
        </w:rPr>
        <w:t>HT-2019-CG-132</w:t>
      </w:r>
    </w:p>
    <w:p>
      <w:pPr>
        <w:spacing w:line="360" w:lineRule="auto"/>
        <w:rPr>
          <w:rFonts w:ascii="宋体" w:hAnsi="宋体" w:eastAsia="宋体" w:cs="宋体"/>
          <w:b/>
          <w:bCs/>
          <w:color w:val="auto"/>
          <w:sz w:val="36"/>
          <w:szCs w:val="36"/>
          <w:highlight w:val="none"/>
        </w:rPr>
      </w:pPr>
    </w:p>
    <w:p>
      <w:pPr>
        <w:pStyle w:val="2"/>
        <w:ind w:firstLine="723"/>
        <w:rPr>
          <w:rFonts w:eastAsia="宋体"/>
          <w:b/>
          <w:bCs/>
          <w:color w:val="auto"/>
          <w:sz w:val="36"/>
          <w:szCs w:val="36"/>
          <w:highlight w:val="none"/>
        </w:rPr>
      </w:pPr>
    </w:p>
    <w:p>
      <w:pPr>
        <w:pStyle w:val="2"/>
        <w:ind w:firstLine="723"/>
        <w:rPr>
          <w:rFonts w:eastAsia="宋体"/>
          <w:b/>
          <w:bCs/>
          <w:color w:val="auto"/>
          <w:sz w:val="36"/>
          <w:szCs w:val="36"/>
          <w:highlight w:val="none"/>
        </w:rPr>
      </w:pPr>
    </w:p>
    <w:p>
      <w:pPr>
        <w:pStyle w:val="2"/>
        <w:ind w:firstLine="723"/>
        <w:rPr>
          <w:rFonts w:eastAsia="宋体"/>
          <w:b/>
          <w:bCs/>
          <w:color w:val="auto"/>
          <w:sz w:val="36"/>
          <w:szCs w:val="36"/>
          <w:highlight w:val="none"/>
        </w:rPr>
      </w:pPr>
    </w:p>
    <w:p>
      <w:pPr>
        <w:pStyle w:val="2"/>
        <w:ind w:firstLine="723"/>
        <w:rPr>
          <w:rFonts w:eastAsia="宋体"/>
          <w:b/>
          <w:bCs/>
          <w:color w:val="auto"/>
          <w:sz w:val="36"/>
          <w:szCs w:val="36"/>
          <w:highlight w:val="none"/>
        </w:rPr>
      </w:pPr>
    </w:p>
    <w:p>
      <w:pPr>
        <w:pStyle w:val="2"/>
        <w:ind w:left="0" w:leftChars="0" w:firstLine="0" w:firstLineChars="0"/>
        <w:rPr>
          <w:rFonts w:eastAsia="宋体"/>
          <w:b/>
          <w:bCs/>
          <w:color w:val="auto"/>
          <w:sz w:val="36"/>
          <w:szCs w:val="36"/>
          <w:highlight w:val="none"/>
        </w:rPr>
      </w:pPr>
    </w:p>
    <w:p>
      <w:pPr>
        <w:pStyle w:val="2"/>
        <w:ind w:firstLine="723"/>
        <w:rPr>
          <w:rFonts w:eastAsia="宋体"/>
          <w:b/>
          <w:bCs/>
          <w:color w:val="auto"/>
          <w:sz w:val="36"/>
          <w:szCs w:val="36"/>
          <w:highlight w:val="none"/>
        </w:rPr>
      </w:pPr>
    </w:p>
    <w:p>
      <w:pPr>
        <w:spacing w:line="360" w:lineRule="auto"/>
        <w:jc w:val="center"/>
        <w:rPr>
          <w:rFonts w:ascii="宋体" w:hAnsi="宋体" w:eastAsia="宋体" w:cs="宋体"/>
          <w:b/>
          <w:bCs/>
          <w:color w:val="auto"/>
          <w:spacing w:val="4"/>
          <w:sz w:val="32"/>
          <w:szCs w:val="32"/>
          <w:highlight w:val="none"/>
          <w:u w:val="single"/>
        </w:rPr>
      </w:pPr>
      <w:r>
        <w:rPr>
          <w:rFonts w:hint="eastAsia" w:ascii="宋体" w:hAnsi="宋体" w:eastAsia="宋体" w:cs="宋体"/>
          <w:b/>
          <w:bCs/>
          <w:color w:val="auto"/>
          <w:sz w:val="32"/>
          <w:szCs w:val="32"/>
          <w:highlight w:val="none"/>
        </w:rPr>
        <w:t>采购人：济宁医学院</w:t>
      </w:r>
    </w:p>
    <w:p>
      <w:pPr>
        <w:spacing w:line="360" w:lineRule="auto"/>
        <w:jc w:val="center"/>
        <w:rPr>
          <w:rFonts w:ascii="宋体" w:hAnsi="宋体" w:eastAsia="宋体" w:cs="宋体"/>
          <w:b/>
          <w:color w:val="auto"/>
          <w:spacing w:val="-20"/>
          <w:sz w:val="32"/>
          <w:szCs w:val="32"/>
          <w:highlight w:val="none"/>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pacing w:val="-12"/>
          <w:sz w:val="32"/>
          <w:szCs w:val="32"/>
          <w:highlight w:val="none"/>
        </w:rPr>
        <w:t>山东衡天咨询有限公司</w:t>
      </w:r>
    </w:p>
    <w:p>
      <w:pPr>
        <w:tabs>
          <w:tab w:val="left" w:pos="6660"/>
        </w:tabs>
        <w:spacing w:line="360" w:lineRule="auto"/>
        <w:jc w:val="center"/>
        <w:rPr>
          <w:rFonts w:ascii="宋体" w:hAnsi="宋体" w:eastAsia="宋体" w:cs="宋体"/>
          <w:color w:val="auto"/>
          <w:kern w:val="0"/>
          <w:sz w:val="46"/>
          <w:szCs w:val="18"/>
          <w:highlight w:val="none"/>
        </w:rPr>
      </w:pPr>
      <w:r>
        <w:rPr>
          <w:rFonts w:hint="eastAsia" w:ascii="宋体" w:hAnsi="宋体" w:eastAsia="宋体" w:cs="宋体"/>
          <w:b/>
          <w:bCs/>
          <w:color w:val="auto"/>
          <w:spacing w:val="40"/>
          <w:sz w:val="32"/>
          <w:szCs w:val="32"/>
          <w:highlight w:val="none"/>
        </w:rPr>
        <w:t>二〇一九年十</w:t>
      </w:r>
      <w:r>
        <w:rPr>
          <w:rFonts w:hint="eastAsia" w:ascii="宋体" w:hAnsi="宋体" w:eastAsia="宋体" w:cs="宋体"/>
          <w:b/>
          <w:bCs/>
          <w:color w:val="auto"/>
          <w:spacing w:val="40"/>
          <w:sz w:val="32"/>
          <w:szCs w:val="32"/>
          <w:highlight w:val="none"/>
          <w:lang w:eastAsia="zh-CN"/>
        </w:rPr>
        <w:t>二</w:t>
      </w:r>
      <w:r>
        <w:rPr>
          <w:rFonts w:hint="eastAsia" w:ascii="宋体" w:hAnsi="宋体" w:eastAsia="宋体" w:cs="宋体"/>
          <w:b/>
          <w:bCs/>
          <w:color w:val="auto"/>
          <w:spacing w:val="40"/>
          <w:sz w:val="32"/>
          <w:szCs w:val="32"/>
          <w:highlight w:val="none"/>
        </w:rPr>
        <w:t>月</w:t>
      </w:r>
      <w:bookmarkEnd w:id="0"/>
    </w:p>
    <w:p>
      <w:pPr>
        <w:autoSpaceDE w:val="0"/>
        <w:autoSpaceDN w:val="0"/>
        <w:adjustRightInd w:val="0"/>
        <w:jc w:val="center"/>
        <w:rPr>
          <w:rFonts w:ascii="宋体" w:hAnsi="宋体" w:eastAsia="宋体" w:cs="宋体"/>
          <w:color w:val="auto"/>
          <w:kern w:val="0"/>
          <w:sz w:val="46"/>
          <w:szCs w:val="18"/>
          <w:highlight w:val="none"/>
        </w:rPr>
        <w:sectPr>
          <w:pgSz w:w="11906" w:h="16838"/>
          <w:pgMar w:top="1418" w:right="1134" w:bottom="1418" w:left="1134" w:header="851" w:footer="992" w:gutter="0"/>
          <w:cols w:space="720" w:num="1"/>
          <w:docGrid w:type="linesAndChars" w:linePitch="312" w:charSpace="0"/>
        </w:sectPr>
      </w:pPr>
    </w:p>
    <w:p>
      <w:pPr>
        <w:autoSpaceDE w:val="0"/>
        <w:autoSpaceDN w:val="0"/>
        <w:adjustRightInd w:val="0"/>
        <w:jc w:val="center"/>
        <w:rPr>
          <w:rFonts w:ascii="宋体" w:hAnsi="宋体" w:eastAsia="宋体" w:cs="宋体"/>
          <w:color w:val="auto"/>
          <w:kern w:val="0"/>
          <w:sz w:val="46"/>
          <w:szCs w:val="18"/>
          <w:highlight w:val="none"/>
        </w:rPr>
      </w:pPr>
      <w:r>
        <w:rPr>
          <w:rFonts w:hint="eastAsia" w:ascii="宋体" w:hAnsi="宋体" w:eastAsia="宋体" w:cs="宋体"/>
          <w:color w:val="auto"/>
          <w:kern w:val="0"/>
          <w:sz w:val="46"/>
          <w:szCs w:val="18"/>
          <w:highlight w:val="none"/>
        </w:rPr>
        <w:t>目  录</w:t>
      </w:r>
    </w:p>
    <w:p>
      <w:pPr>
        <w:autoSpaceDE w:val="0"/>
        <w:autoSpaceDN w:val="0"/>
        <w:adjustRightInd w:val="0"/>
        <w:jc w:val="center"/>
        <w:rPr>
          <w:rFonts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"1-1" \h \z \u </w:instrText>
      </w:r>
      <w:r>
        <w:rPr>
          <w:rFonts w:hint="eastAsia" w:ascii="宋体" w:hAnsi="宋体" w:eastAsia="宋体" w:cs="宋体"/>
          <w:color w:val="auto"/>
          <w:highlight w:val="none"/>
        </w:rPr>
        <w:fldChar w:fldCharType="separate"/>
      </w:r>
    </w:p>
    <w:p>
      <w:pPr>
        <w:pStyle w:val="15"/>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"_Toc450115334" </w:instrText>
      </w:r>
      <w:r>
        <w:rPr>
          <w:color w:val="auto"/>
          <w:highlight w:val="none"/>
        </w:rPr>
        <w:fldChar w:fldCharType="separate"/>
      </w:r>
      <w:r>
        <w:rPr>
          <w:rStyle w:val="24"/>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_Toc450115334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5"/>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"_Toc450115335" </w:instrText>
      </w:r>
      <w:r>
        <w:rPr>
          <w:color w:val="auto"/>
          <w:highlight w:val="none"/>
        </w:rPr>
        <w:fldChar w:fldCharType="separate"/>
      </w:r>
      <w:r>
        <w:rPr>
          <w:rStyle w:val="24"/>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p>
    <w:p>
      <w:pPr>
        <w:pStyle w:val="15"/>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"_Toc450115336" </w:instrText>
      </w:r>
      <w:r>
        <w:rPr>
          <w:color w:val="auto"/>
          <w:highlight w:val="none"/>
        </w:rPr>
        <w:fldChar w:fldCharType="separate"/>
      </w:r>
      <w:r>
        <w:rPr>
          <w:rStyle w:val="24"/>
          <w:rFonts w:hint="eastAsia" w:ascii="宋体" w:hAnsi="宋体" w:eastAsia="宋体" w:cs="宋体"/>
          <w:color w:val="auto"/>
          <w:sz w:val="28"/>
          <w:szCs w:val="28"/>
          <w:highlight w:val="none"/>
        </w:rPr>
        <w:t>第三章 项目说明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_Toc450115336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5"/>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"_Toc450115337" </w:instrText>
      </w:r>
      <w:r>
        <w:rPr>
          <w:color w:val="auto"/>
          <w:highlight w:val="none"/>
        </w:rPr>
        <w:fldChar w:fldCharType="separate"/>
      </w:r>
      <w:r>
        <w:rPr>
          <w:rStyle w:val="24"/>
          <w:rFonts w:hint="eastAsia" w:ascii="宋体" w:hAnsi="宋体" w:eastAsia="宋体" w:cs="宋体"/>
          <w:color w:val="auto"/>
          <w:sz w:val="28"/>
          <w:szCs w:val="28"/>
          <w:highlight w:val="none"/>
        </w:rPr>
        <w:t>第四章 合同格式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2</w:t>
      </w:r>
    </w:p>
    <w:p>
      <w:pPr>
        <w:pStyle w:val="15"/>
        <w:tabs>
          <w:tab w:val="right" w:leader="dot" w:pos="9628"/>
        </w:tabs>
        <w:spacing w:line="480" w:lineRule="auto"/>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"_Toc450115353" </w:instrText>
      </w:r>
      <w:r>
        <w:rPr>
          <w:color w:val="auto"/>
          <w:highlight w:val="none"/>
        </w:rPr>
        <w:fldChar w:fldCharType="separate"/>
      </w:r>
      <w:r>
        <w:rPr>
          <w:rStyle w:val="24"/>
          <w:rFonts w:hint="eastAsia" w:ascii="宋体" w:hAnsi="宋体" w:eastAsia="宋体" w:cs="宋体"/>
          <w:color w:val="auto"/>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_Toc450115353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5"/>
        <w:tabs>
          <w:tab w:val="right" w:leader="dot" w:pos="9628"/>
        </w:tabs>
        <w:spacing w:line="48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"_Toc450115354" </w:instrText>
      </w:r>
      <w:r>
        <w:rPr>
          <w:color w:val="auto"/>
          <w:highlight w:val="none"/>
        </w:rPr>
        <w:fldChar w:fldCharType="separate"/>
      </w:r>
      <w:r>
        <w:rPr>
          <w:rStyle w:val="24"/>
          <w:rFonts w:hint="eastAsia" w:ascii="宋体" w:hAnsi="宋体" w:eastAsia="宋体" w:cs="宋体"/>
          <w:color w:val="auto"/>
          <w:sz w:val="28"/>
          <w:szCs w:val="28"/>
          <w:highlight w:val="none"/>
        </w:rPr>
        <w:t>第六章 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8</w:t>
      </w:r>
    </w:p>
    <w:p>
      <w:pPr>
        <w:tabs>
          <w:tab w:val="right" w:leader="dot" w:pos="9087"/>
        </w:tabs>
        <w:spacing w:line="480" w:lineRule="auto"/>
        <w:ind w:firstLine="480" w:firstLineChars="200"/>
        <w:rPr>
          <w:rStyle w:val="24"/>
          <w:rFonts w:ascii="宋体" w:hAnsi="宋体" w:eastAsia="宋体" w:cs="宋体"/>
          <w:color w:val="auto"/>
          <w:sz w:val="24"/>
          <w:highlight w:val="none"/>
          <w:u w:val="none"/>
        </w:rPr>
      </w:pPr>
      <w:r>
        <w:rPr>
          <w:rFonts w:hint="eastAsia" w:ascii="宋体" w:hAnsi="宋体" w:eastAsia="宋体" w:cs="宋体"/>
          <w:color w:val="auto"/>
          <w:sz w:val="24"/>
          <w:highlight w:val="none"/>
        </w:rPr>
        <w:fldChar w:fldCharType="end"/>
      </w:r>
    </w:p>
    <w:p>
      <w:pPr>
        <w:pStyle w:val="17"/>
        <w:rPr>
          <w:rFonts w:ascii="宋体" w:hAnsi="宋体" w:eastAsia="宋体" w:cs="宋体"/>
          <w:color w:val="auto"/>
          <w:highlight w:val="none"/>
        </w:rPr>
      </w:pPr>
    </w:p>
    <w:p>
      <w:pPr>
        <w:rPr>
          <w:rFonts w:ascii="宋体" w:hAnsi="宋体" w:eastAsia="宋体" w:cs="宋体"/>
          <w:b/>
          <w:color w:val="auto"/>
          <w:sz w:val="30"/>
          <w:highlight w:val="none"/>
        </w:rPr>
      </w:pPr>
    </w:p>
    <w:p>
      <w:pPr>
        <w:jc w:val="center"/>
        <w:rPr>
          <w:rFonts w:ascii="宋体" w:hAnsi="宋体" w:eastAsia="宋体" w:cs="宋体"/>
          <w:b/>
          <w:color w:val="auto"/>
          <w:sz w:val="44"/>
          <w:highlight w:val="none"/>
        </w:rPr>
      </w:pPr>
    </w:p>
    <w:p>
      <w:pPr>
        <w:tabs>
          <w:tab w:val="left" w:pos="5510"/>
        </w:tabs>
        <w:jc w:val="left"/>
        <w:rPr>
          <w:rFonts w:ascii="宋体" w:hAnsi="宋体" w:eastAsia="宋体" w:cs="宋体"/>
          <w:b/>
          <w:color w:val="auto"/>
          <w:sz w:val="44"/>
          <w:highlight w:val="none"/>
        </w:rPr>
      </w:pPr>
      <w:r>
        <w:rPr>
          <w:rFonts w:hint="eastAsia" w:ascii="宋体" w:hAnsi="宋体" w:eastAsia="宋体" w:cs="宋体"/>
          <w:b/>
          <w:color w:val="auto"/>
          <w:sz w:val="44"/>
          <w:highlight w:val="none"/>
        </w:rPr>
        <w:tab/>
      </w:r>
    </w:p>
    <w:p>
      <w:pPr>
        <w:tabs>
          <w:tab w:val="left" w:pos="5510"/>
        </w:tabs>
        <w:jc w:val="left"/>
        <w:rPr>
          <w:rFonts w:ascii="宋体" w:hAnsi="宋体" w:eastAsia="宋体" w:cs="宋体"/>
          <w:b/>
          <w:color w:val="auto"/>
          <w:sz w:val="44"/>
          <w:highlight w:val="none"/>
        </w:rPr>
      </w:pPr>
    </w:p>
    <w:p>
      <w:pPr>
        <w:tabs>
          <w:tab w:val="left" w:pos="5510"/>
        </w:tabs>
        <w:jc w:val="left"/>
        <w:rPr>
          <w:rFonts w:ascii="宋体" w:hAnsi="宋体" w:eastAsia="宋体" w:cs="宋体"/>
          <w:b/>
          <w:color w:val="auto"/>
          <w:sz w:val="44"/>
          <w:highlight w:val="none"/>
        </w:rPr>
      </w:pPr>
    </w:p>
    <w:p>
      <w:pPr>
        <w:tabs>
          <w:tab w:val="left" w:pos="5510"/>
        </w:tabs>
        <w:jc w:val="left"/>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jc w:val="center"/>
        <w:rPr>
          <w:rFonts w:ascii="宋体" w:hAnsi="宋体" w:eastAsia="宋体" w:cs="宋体"/>
          <w:b/>
          <w:color w:val="auto"/>
          <w:sz w:val="44"/>
          <w:highlight w:val="none"/>
        </w:rPr>
      </w:pPr>
    </w:p>
    <w:p>
      <w:pPr>
        <w:pStyle w:val="2"/>
        <w:rPr>
          <w:color w:val="auto"/>
          <w:highlight w:val="none"/>
        </w:rPr>
      </w:pPr>
    </w:p>
    <w:p>
      <w:pPr>
        <w:pStyle w:val="2"/>
        <w:rPr>
          <w:color w:val="auto"/>
          <w:highlight w:val="none"/>
        </w:rPr>
      </w:pPr>
    </w:p>
    <w:p>
      <w:pPr>
        <w:pStyle w:val="3"/>
        <w:keepNext w:val="0"/>
        <w:keepLines w:val="0"/>
        <w:topLinePunct/>
        <w:spacing w:line="240" w:lineRule="auto"/>
        <w:rPr>
          <w:rFonts w:ascii="宋体" w:hAnsi="宋体" w:eastAsia="宋体" w:cs="宋体"/>
          <w:color w:val="auto"/>
          <w:sz w:val="36"/>
          <w:szCs w:val="36"/>
          <w:highlight w:val="none"/>
        </w:rPr>
      </w:pPr>
      <w:bookmarkStart w:id="1" w:name="_Toc19902"/>
      <w:bookmarkStart w:id="2" w:name="_Toc450115334"/>
      <w:r>
        <w:rPr>
          <w:rFonts w:hint="eastAsia" w:ascii="宋体" w:hAnsi="宋体" w:eastAsia="宋体" w:cs="宋体"/>
          <w:color w:val="auto"/>
          <w:highlight w:val="none"/>
        </w:rPr>
        <w:t xml:space="preserve">第一章  </w:t>
      </w:r>
      <w:bookmarkEnd w:id="1"/>
      <w:bookmarkEnd w:id="2"/>
      <w:bookmarkStart w:id="3" w:name="_Toc450115335"/>
      <w:r>
        <w:rPr>
          <w:rFonts w:hint="eastAsia" w:ascii="宋体" w:hAnsi="宋体" w:eastAsia="宋体" w:cs="宋体"/>
          <w:color w:val="auto"/>
          <w:highlight w:val="none"/>
        </w:rPr>
        <w:t>竞争性磋商公告</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济宁医学院太白湖校区消防系统维保、零星消防工程施工服务项目</w:t>
      </w:r>
      <w:r>
        <w:rPr>
          <w:rFonts w:hint="eastAsia" w:ascii="宋体" w:hAnsi="宋体" w:eastAsia="宋体" w:cs="宋体"/>
          <w:color w:val="auto"/>
          <w:sz w:val="24"/>
          <w:highlight w:val="none"/>
        </w:rPr>
        <w:t>经有关部门批准，现采用竞争性磋商方式确定成交供应商，有关事宜公告如下：</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一、项目基本信息</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lang w:eastAsia="zh-CN"/>
        </w:rPr>
        <w:t>HT-2019-CG-132</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eastAsia="宋体" w:cs="宋体"/>
          <w:color w:val="auto"/>
          <w:sz w:val="24"/>
          <w:highlight w:val="none"/>
          <w:lang w:eastAsia="zh-CN"/>
        </w:rPr>
        <w:t>济宁医学院太白湖校区消防系统维保、零星消防工程施工服务项目</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3、标段划分：</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个包</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4、项目概况：本项目为</w:t>
      </w:r>
      <w:r>
        <w:rPr>
          <w:rFonts w:hint="eastAsia" w:ascii="宋体" w:hAnsi="宋体" w:eastAsia="宋体" w:cs="宋体"/>
          <w:color w:val="auto"/>
          <w:sz w:val="24"/>
          <w:highlight w:val="none"/>
          <w:lang w:eastAsia="zh-CN"/>
        </w:rPr>
        <w:t>济宁医学院太白湖校区消防系统维保、零星消防工程施工服务项目</w:t>
      </w:r>
      <w:r>
        <w:rPr>
          <w:rFonts w:hint="eastAsia" w:ascii="宋体" w:hAnsi="宋体" w:eastAsia="宋体" w:cs="宋体"/>
          <w:color w:val="auto"/>
          <w:sz w:val="24"/>
          <w:highlight w:val="none"/>
        </w:rPr>
        <w:t>，具体内容详见项目说明。</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二、供应商资格要求</w:t>
      </w:r>
    </w:p>
    <w:tbl>
      <w:tblPr>
        <w:tblStyle w:val="21"/>
        <w:tblW w:w="9599"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449"/>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9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Calibri" w:eastAsia="宋体" w:cs="宋体"/>
                <w:color w:val="auto"/>
                <w:sz w:val="24"/>
                <w:szCs w:val="24"/>
                <w:highlight w:val="none"/>
                <w:lang w:val="en-US" w:eastAsia="zh-CN"/>
              </w:rPr>
            </w:pPr>
            <w:r>
              <w:rPr>
                <w:rFonts w:hint="eastAsia" w:ascii="宋体" w:hAnsi="Calibri" w:eastAsia="宋体" w:cs="宋体"/>
                <w:color w:val="auto"/>
                <w:sz w:val="24"/>
                <w:szCs w:val="24"/>
                <w:highlight w:val="none"/>
                <w:lang w:val="en-US" w:eastAsia="zh-CN"/>
              </w:rPr>
              <w:t>包号</w:t>
            </w:r>
          </w:p>
        </w:tc>
        <w:tc>
          <w:tcPr>
            <w:tcW w:w="24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Calibri" w:eastAsia="宋体" w:cs="宋体"/>
                <w:color w:val="auto"/>
                <w:sz w:val="24"/>
                <w:szCs w:val="24"/>
                <w:highlight w:val="none"/>
                <w:lang w:val="en-US" w:eastAsia="zh-CN"/>
              </w:rPr>
            </w:pPr>
            <w:r>
              <w:rPr>
                <w:rFonts w:hint="eastAsia" w:ascii="宋体" w:hAnsi="Calibri" w:eastAsia="宋体" w:cs="宋体"/>
                <w:color w:val="auto"/>
                <w:sz w:val="24"/>
                <w:szCs w:val="24"/>
                <w:highlight w:val="none"/>
                <w:lang w:val="en-US" w:eastAsia="zh-CN"/>
              </w:rPr>
              <w:t>项目名称</w:t>
            </w:r>
          </w:p>
        </w:tc>
        <w:tc>
          <w:tcPr>
            <w:tcW w:w="61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Calibri" w:eastAsia="宋体" w:cs="宋体"/>
                <w:color w:val="auto"/>
                <w:sz w:val="24"/>
                <w:szCs w:val="24"/>
                <w:highlight w:val="none"/>
                <w:lang w:val="en-US" w:eastAsia="zh-CN"/>
              </w:rPr>
            </w:pPr>
            <w:r>
              <w:rPr>
                <w:rFonts w:hint="eastAsia" w:ascii="宋体" w:hAnsi="Calibri" w:eastAsia="宋体" w:cs="宋体"/>
                <w:color w:val="auto"/>
                <w:sz w:val="24"/>
                <w:szCs w:val="24"/>
                <w:highlight w:val="none"/>
                <w:lang w:val="en-US" w:eastAsia="zh-CN"/>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3" w:hRule="atLeast"/>
        </w:trPr>
        <w:tc>
          <w:tcPr>
            <w:tcW w:w="998" w:type="dxa"/>
            <w:vAlign w:val="center"/>
          </w:tcPr>
          <w:p>
            <w:pPr>
              <w:pStyle w:val="2"/>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A包</w:t>
            </w:r>
          </w:p>
        </w:tc>
        <w:tc>
          <w:tcPr>
            <w:tcW w:w="2449" w:type="dxa"/>
            <w:vAlign w:val="center"/>
          </w:tcPr>
          <w:p>
            <w:pPr>
              <w:pStyle w:val="2"/>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济宁医学院太白湖校区消防维保项目</w:t>
            </w:r>
          </w:p>
        </w:tc>
        <w:tc>
          <w:tcPr>
            <w:tcW w:w="6152" w:type="dxa"/>
          </w:tcPr>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1、在中国境内注册，具有独立法人资格；</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2、具备有效的营业执照，并在人员、设备、资金等方面具有相应的服务能力；</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3、具备消防设施维护保养资质证书或消防技术服务机构资质证书（含临时资质，消防技术服务业务范围为建筑消防设施的维修、保养活动）；</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4、提供的资格、资质文件和业绩情况均真实有效，具有良好的商业信誉；</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5、参加政府采购活动前三年内，在经营活动中没有重大违法记录；</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6、供应商须满足《中华人民共和国政府采购法》第22条规定；</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7、遵守《中华人民共和国政府采购法》及相关法律、法规和规章；</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8、资格审查方式：资格后审；</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9、本项目不接受联合体投标；</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10、</w:t>
            </w:r>
            <w:r>
              <w:rPr>
                <w:rFonts w:hint="eastAsia" w:ascii="宋体" w:hAnsi="Calibri" w:eastAsia="宋体" w:cs="宋体"/>
                <w:color w:val="auto"/>
                <w:sz w:val="24"/>
                <w:szCs w:val="24"/>
                <w:highlight w:val="none"/>
                <w:lang w:val="en-US" w:eastAsia="zh-CN"/>
              </w:rPr>
              <w:t>本项目兼投不兼中</w:t>
            </w:r>
            <w:r>
              <w:rPr>
                <w:rFonts w:hint="eastAsia" w:hAnsi="Calibri"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1" w:hRule="atLeast"/>
        </w:trPr>
        <w:tc>
          <w:tcPr>
            <w:tcW w:w="998" w:type="dxa"/>
            <w:vAlign w:val="center"/>
          </w:tcPr>
          <w:p>
            <w:pPr>
              <w:pStyle w:val="2"/>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B包</w:t>
            </w:r>
          </w:p>
        </w:tc>
        <w:tc>
          <w:tcPr>
            <w:tcW w:w="2449" w:type="dxa"/>
            <w:vAlign w:val="center"/>
          </w:tcPr>
          <w:p>
            <w:pPr>
              <w:pStyle w:val="2"/>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济宁医学院太白湖校区零星消防施工队伍项目</w:t>
            </w:r>
          </w:p>
        </w:tc>
        <w:tc>
          <w:tcPr>
            <w:tcW w:w="6152" w:type="dxa"/>
          </w:tcPr>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1、在中国境内注册，具有独立法人资格；</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2、具备有效的营业执照，并在人员、设备、资金等方面具有相应的施工能力；</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3、具备消防设施工程专业承包二级及以上资质；</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4、项目负责人为机电工程专业贰级及以上注册建造师（须在本单位注册）；</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5、提供的资格、资质文件和业绩情况均真实有效，具有良好的商业信誉；</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6、参加政府采购活动前三年内，在经营活动中没有重大违法记录；</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7、供应商须满足《中华人民共和国政府采购法》第22条规定；</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8、遵守《中华人民共和国政府采购法》及相关法律、法规和规章；</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9、资格审查方式：资格后审；</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10、本项目不接受联合体投标；</w:t>
            </w:r>
          </w:p>
          <w:p>
            <w:pPr>
              <w:pStyle w:val="2"/>
              <w:ind w:left="0" w:leftChars="0" w:firstLine="0" w:firstLineChars="0"/>
              <w:jc w:val="left"/>
              <w:rPr>
                <w:rFonts w:hint="eastAsia"/>
                <w:color w:val="auto"/>
                <w:highlight w:val="none"/>
                <w:vertAlign w:val="baseline"/>
                <w:lang w:val="en-US" w:eastAsia="zh-CN"/>
              </w:rPr>
            </w:pPr>
            <w:r>
              <w:rPr>
                <w:rFonts w:hint="eastAsia"/>
                <w:color w:val="auto"/>
                <w:highlight w:val="none"/>
                <w:vertAlign w:val="baseline"/>
                <w:lang w:val="en-US" w:eastAsia="zh-CN"/>
              </w:rPr>
              <w:t>11、本项目兼投不兼中。</w:t>
            </w:r>
          </w:p>
        </w:tc>
      </w:tr>
    </w:tbl>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三、报名时间、地点及需要携带的证件：</w:t>
      </w:r>
    </w:p>
    <w:p>
      <w:pPr>
        <w:spacing w:line="360" w:lineRule="auto"/>
        <w:ind w:firstLine="480" w:firstLineChars="200"/>
        <w:rPr>
          <w:rFonts w:ascii="宋体" w:hAnsi="宋体" w:eastAsia="宋体" w:cs="宋体"/>
          <w:b/>
          <w:bCs/>
          <w:color w:val="auto"/>
          <w:sz w:val="24"/>
          <w:highlight w:val="none"/>
        </w:rPr>
      </w:pPr>
      <w:r>
        <w:rPr>
          <w:rFonts w:hint="eastAsia" w:ascii="宋体" w:hAnsi="宋体" w:eastAsia="宋体" w:cs="宋体"/>
          <w:color w:val="auto"/>
          <w:sz w:val="24"/>
          <w:highlight w:val="none"/>
        </w:rPr>
        <w:t>有意参加本项目的供应商请于2019年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日（上午8:00-12:00，下午13:30-17:30）到山东衡天咨询有限公司（地址：济宁市任城大道翠都国际A座22楼）报名，报名时请携带如下资料：</w:t>
      </w:r>
    </w:p>
    <w:p>
      <w:pPr>
        <w:spacing w:line="360" w:lineRule="auto"/>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A包：</w:t>
      </w:r>
      <w:r>
        <w:rPr>
          <w:rFonts w:hint="eastAsia" w:ascii="宋体" w:hAnsi="宋体" w:eastAsia="宋体" w:cs="宋体"/>
          <w:b/>
          <w:bCs/>
          <w:color w:val="auto"/>
          <w:sz w:val="24"/>
          <w:highlight w:val="none"/>
        </w:rPr>
        <w:t>营业执照，资质证书</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法定代表人授权委托书及被授权人身份证</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B包：</w:t>
      </w:r>
      <w:r>
        <w:rPr>
          <w:rFonts w:hint="eastAsia" w:ascii="宋体" w:hAnsi="宋体" w:eastAsia="宋体" w:cs="宋体"/>
          <w:b/>
          <w:bCs/>
          <w:color w:val="auto"/>
          <w:sz w:val="24"/>
          <w:highlight w:val="none"/>
        </w:rPr>
        <w:t>营业执照，资质证书，</w:t>
      </w:r>
      <w:r>
        <w:rPr>
          <w:rFonts w:hint="eastAsia" w:ascii="宋体" w:hAnsi="宋体" w:eastAsia="宋体" w:cs="宋体"/>
          <w:b/>
          <w:bCs/>
          <w:color w:val="auto"/>
          <w:sz w:val="24"/>
          <w:highlight w:val="none"/>
          <w:lang w:val="en-US" w:eastAsia="zh-CN"/>
        </w:rPr>
        <w:t>项目负责人证书，</w:t>
      </w:r>
      <w:r>
        <w:rPr>
          <w:rFonts w:hint="eastAsia" w:ascii="宋体" w:hAnsi="宋体" w:eastAsia="宋体" w:cs="宋体"/>
          <w:b/>
          <w:bCs/>
          <w:color w:val="auto"/>
          <w:sz w:val="24"/>
          <w:highlight w:val="none"/>
        </w:rPr>
        <w:t>法定代表人授权委托书及被授权人身份证。以上证件需提供加盖单位公章的复印件一套。</w:t>
      </w:r>
    </w:p>
    <w:p>
      <w:pPr>
        <w:spacing w:line="360" w:lineRule="auto"/>
        <w:ind w:firstLine="480" w:firstLineChars="200"/>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磋商文件费用：</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00元/</w:t>
      </w:r>
      <w:r>
        <w:rPr>
          <w:rFonts w:hint="eastAsia" w:ascii="宋体" w:hAnsi="宋体" w:eastAsia="宋体" w:cs="宋体"/>
          <w:b w:val="0"/>
          <w:bCs w:val="0"/>
          <w:color w:val="auto"/>
          <w:sz w:val="24"/>
          <w:highlight w:val="none"/>
          <w:lang w:eastAsia="zh-CN"/>
        </w:rPr>
        <w:t>包</w:t>
      </w:r>
      <w:r>
        <w:rPr>
          <w:rFonts w:hint="eastAsia" w:ascii="宋体" w:hAnsi="宋体" w:eastAsia="宋体" w:cs="宋体"/>
          <w:b w:val="0"/>
          <w:bCs w:val="0"/>
          <w:color w:val="auto"/>
          <w:sz w:val="24"/>
          <w:highlight w:val="none"/>
        </w:rPr>
        <w:t>，售后不退。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四、发布公告的媒介：中国采购与招标网上发布。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五、联系方式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采购人：济宁医学院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联系人：王主任     联系电话：0537-3616133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采购代理机构：山东衡天咨询有限公司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联系地址：济宁市任城大道翠都国际A座22楼</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联系人：伊珍珍、梁汝壮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联系电话：0537-2489666、13325175715 </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w:t>
      </w: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jc w:val="right"/>
        <w:rPr>
          <w:rFonts w:ascii="宋体" w:hAnsi="宋体" w:eastAsia="宋体" w:cs="宋体"/>
          <w:color w:val="auto"/>
          <w:sz w:val="24"/>
          <w:highlight w:val="none"/>
        </w:rPr>
      </w:pPr>
    </w:p>
    <w:p>
      <w:pPr>
        <w:pStyle w:val="3"/>
        <w:keepNext w:val="0"/>
        <w:keepLines w:val="0"/>
        <w:topLinePunct/>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第二章 供应商须知</w:t>
      </w:r>
      <w:bookmarkEnd w:id="3"/>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一、供应商须知前附表</w:t>
      </w:r>
    </w:p>
    <w:tbl>
      <w:tblPr>
        <w:tblStyle w:val="20"/>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03"/>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2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   目</w:t>
            </w:r>
          </w:p>
        </w:tc>
        <w:tc>
          <w:tcPr>
            <w:tcW w:w="7384"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2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pPr>
              <w:spacing w:line="440" w:lineRule="exact"/>
              <w:ind w:right="480"/>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项目编号</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济宁医学院太白湖校区消防系统维保、零星消防工程施工服务项目</w:t>
            </w:r>
            <w:r>
              <w:rPr>
                <w:rFonts w:hint="eastAsia" w:ascii="宋体" w:hAnsi="宋体" w:eastAsia="宋体" w:cs="宋体"/>
                <w:color w:val="auto"/>
                <w:sz w:val="24"/>
                <w:highlight w:val="none"/>
                <w:lang w:val="en-US" w:eastAsia="zh-CN"/>
              </w:rPr>
              <w:t>（A包）</w:t>
            </w:r>
          </w:p>
          <w:p>
            <w:pPr>
              <w:widowControl/>
              <w:adjustRightInd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HT-2019-CG-132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2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738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本项目为</w:t>
            </w:r>
            <w:r>
              <w:rPr>
                <w:rFonts w:hint="eastAsia" w:ascii="宋体" w:hAnsi="宋体" w:eastAsia="宋体" w:cs="宋体"/>
                <w:color w:val="auto"/>
                <w:sz w:val="24"/>
                <w:highlight w:val="none"/>
                <w:lang w:eastAsia="zh-CN"/>
              </w:rPr>
              <w:t>济宁医学院太白湖校区消防系统维保、零星消防工程施工服务项目</w:t>
            </w:r>
            <w:r>
              <w:rPr>
                <w:rFonts w:hint="eastAsia" w:ascii="宋体" w:hAnsi="宋体" w:eastAsia="宋体" w:cs="宋体"/>
                <w:color w:val="auto"/>
                <w:sz w:val="24"/>
                <w:highlight w:val="none"/>
                <w:lang w:val="en-US" w:eastAsia="zh-CN"/>
              </w:rPr>
              <w:t>（A包）</w:t>
            </w:r>
            <w:r>
              <w:rPr>
                <w:rFonts w:hint="eastAsia" w:ascii="宋体" w:hAnsi="宋体" w:eastAsia="宋体" w:cs="宋体"/>
                <w:color w:val="auto"/>
                <w:sz w:val="24"/>
                <w:highlight w:val="none"/>
              </w:rPr>
              <w:t>，具体内容详见项目说明。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20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c>
          <w:tcPr>
            <w:tcW w:w="738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lang w:bidi="ar"/>
              </w:rPr>
              <w:t>济宁医学院</w:t>
            </w:r>
          </w:p>
          <w:p>
            <w:pPr>
              <w:spacing w:line="440" w:lineRule="exact"/>
              <w:jc w:val="left"/>
              <w:rPr>
                <w:rFonts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联系人：王主任</w:t>
            </w:r>
          </w:p>
          <w:p>
            <w:pPr>
              <w:spacing w:line="440" w:lineRule="exact"/>
              <w:jc w:val="left"/>
              <w:rPr>
                <w:rFonts w:ascii="宋体" w:hAnsi="宋体" w:eastAsia="宋体" w:cs="宋体"/>
                <w:color w:val="auto"/>
                <w:sz w:val="24"/>
                <w:highlight w:val="none"/>
              </w:rPr>
            </w:pPr>
            <w:r>
              <w:rPr>
                <w:rFonts w:hint="eastAsia" w:ascii="宋体" w:hAnsi="宋体" w:eastAsia="宋体" w:cs="宋体"/>
                <w:bCs/>
                <w:color w:val="auto"/>
                <w:sz w:val="24"/>
                <w:highlight w:val="none"/>
                <w:lang w:bidi="ar"/>
              </w:rPr>
              <w:t>联系电话：0537-3616133</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20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采购代理机构、联系人及联系电话</w:t>
            </w:r>
          </w:p>
        </w:tc>
        <w:tc>
          <w:tcPr>
            <w:tcW w:w="73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采购代理机构： 山东衡天咨询有限公司</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联系地址：济宁市任城大道翠都国际A座22楼</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联系人：伊珍珍、梁汝壮    </w:t>
            </w:r>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联系电话：0537-2489666、13325175715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采购预算</w:t>
            </w:r>
          </w:p>
        </w:tc>
        <w:tc>
          <w:tcPr>
            <w:tcW w:w="7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rPr>
                <w:rFonts w:hint="eastAsia" w:ascii="宋体" w:hAnsi="宋体" w:eastAsia="宋体" w:cs="宋体"/>
                <w:b/>
                <w:color w:val="auto"/>
                <w:sz w:val="24"/>
                <w:highlight w:val="none"/>
                <w:lang w:val="en-US" w:eastAsia="zh-CN"/>
              </w:rPr>
            </w:pPr>
            <w:bookmarkStart w:id="4" w:name="OLE_LINK14"/>
            <w:r>
              <w:rPr>
                <w:rFonts w:hint="eastAsia" w:ascii="宋体" w:hAnsi="宋体" w:eastAsia="宋体" w:cs="宋体"/>
                <w:b/>
                <w:color w:val="auto"/>
                <w:sz w:val="24"/>
                <w:highlight w:val="none"/>
                <w:lang w:val="en-US" w:eastAsia="zh-CN"/>
              </w:rPr>
              <w:t>采购预算：10万元；</w:t>
            </w:r>
            <w:bookmarkEnd w:id="4"/>
          </w:p>
          <w:p>
            <w:pPr>
              <w:widowControl/>
              <w:adjustRightInd w:val="0"/>
              <w:spacing w:line="44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供应商的报价不得超过预算控制价，超出预算控制价的报价按无效报价处理。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Cs w:val="21"/>
                <w:highlight w:val="none"/>
              </w:rPr>
              <w:t>8</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期</w:t>
            </w:r>
          </w:p>
        </w:tc>
        <w:tc>
          <w:tcPr>
            <w:tcW w:w="7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highlight w:val="none"/>
              </w:rPr>
              <w:t>9</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符合国家规定的服务要求和采购文件第三章“项目说明”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highlight w:val="none"/>
              </w:rPr>
              <w:t>10</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安全要求</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符合国家安全生产管理相关规定。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维保费用：乙方完全按照合同约定履行维保义务，其服务经采购人认可后，每半年结算维保费用的50%</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资格审查及递交响应文件时需携带的证件</w:t>
            </w:r>
          </w:p>
        </w:tc>
        <w:tc>
          <w:tcPr>
            <w:tcW w:w="7384"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供应商应将所提供的需要磋商小组验证的相关资格证件</w:t>
            </w:r>
            <w:r>
              <w:rPr>
                <w:rFonts w:hint="eastAsia" w:ascii="宋体" w:hAnsi="宋体" w:eastAsia="宋体" w:cs="宋体"/>
                <w:color w:val="auto"/>
                <w:sz w:val="24"/>
                <w:highlight w:val="none"/>
                <w:lang w:eastAsia="zh-CN"/>
              </w:rPr>
              <w:t>：</w:t>
            </w:r>
          </w:p>
          <w:p>
            <w:pPr>
              <w:numPr>
                <w:ilvl w:val="0"/>
                <w:numId w:val="0"/>
              </w:num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，资质证书</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w:t>
            </w:r>
            <w:r>
              <w:rPr>
                <w:rFonts w:hint="eastAsia" w:ascii="宋体" w:hAnsi="宋体" w:eastAsia="宋体" w:cs="宋体"/>
                <w:b/>
                <w:bCs/>
                <w:i w:val="0"/>
                <w:iCs w:val="0"/>
                <w:color w:val="auto"/>
                <w:sz w:val="24"/>
                <w:highlight w:val="none"/>
              </w:rPr>
              <w:t>（如供应商因特殊原因暂时无法提供以上证件的原件，同意接受以上证件加盖公章的复印件，在合同签订前须向采购人出具各证件原件接受审查）</w:t>
            </w:r>
            <w:r>
              <w:rPr>
                <w:rFonts w:hint="eastAsia" w:ascii="宋体" w:hAnsi="宋体" w:eastAsia="宋体" w:cs="宋体"/>
                <w:color w:val="auto"/>
                <w:sz w:val="24"/>
                <w:highlight w:val="none"/>
              </w:rPr>
              <w:t>。密封包装，在递交响应文件时一并提交，否则将做无效报价处理。</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2、供应商还应将需要磋商小组验证的相关人员、业绩信誉证件资料原件和财务报表原件与上述资格证件放在同一密封袋中密封包装，在递交响应文件时一并提交。否则评分办法中相应条款不予计分。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3、响应文件递交截止时间后提交的相关证件，不予接受。</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4、供应商所提供的所有证件及业绩应真实有效，否则将做无效响应处理。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参加磋商会议时供应商需要携带的</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证件</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1、供应商的法定代表人（或其委托代理人）应按时参加磋商会议。</w:t>
            </w:r>
          </w:p>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2、供应商法定代表人参加磋商会议的，需提交其身份证原件；委托代理人参加磋商会议的，需提交其身份证原件及针对本项目的授权委托书原件。（不必密封）</w:t>
            </w:r>
          </w:p>
          <w:p>
            <w:pPr>
              <w:widowControl/>
              <w:adjustRightIn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未按规定提交证件的供应商，其响应文件将被拒绝。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供应商提报虚假材料应承担的责任</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必须对其响应文件中提供各种资料、说明的真实性负责。在评标过程中，发现供应商有为谋取成交而提供虚假资料欺骗采购人和磋商小组的行为，将取消其成交资格。定标后，采购人有可能对成交供应商响应文件中的承诺内容和证明材料进行核查，成交供应商应无条件配合采购人的核查工作，不得托词拒绝核查或隐瞒真实情况。发现成交供应商是提供虚假材料谋取成交等违法违规行为，采购人将取消其成交供应商资格，给采购人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从提交响应文件截止之日起90日历天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16</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响应文件份数</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17</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递交纸质响应文件截止时间</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前</w:t>
            </w:r>
            <w:r>
              <w:rPr>
                <w:rFonts w:hint="eastAsia" w:ascii="宋体" w:hAnsi="宋体" w:eastAsia="宋体" w:cs="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18</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响应文件开启时间</w:t>
            </w:r>
          </w:p>
        </w:tc>
        <w:tc>
          <w:tcPr>
            <w:tcW w:w="73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auto"/>
                <w:kern w:val="0"/>
                <w:sz w:val="24"/>
                <w:highlight w:val="none"/>
              </w:rPr>
            </w:pPr>
            <w:r>
              <w:rPr>
                <w:rFonts w:hint="eastAsia" w:ascii="宋体" w:hAnsi="宋体" w:eastAsia="宋体" w:cs="宋体"/>
                <w:color w:val="auto"/>
                <w:sz w:val="24"/>
                <w:highlight w:val="none"/>
              </w:rPr>
              <w:t>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19</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报价方式</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20</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磋商会议时间、</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时间：2019年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bookmarkStart w:id="109" w:name="_GoBack"/>
            <w:bookmarkEnd w:id="109"/>
            <w:r>
              <w:rPr>
                <w:rFonts w:hint="eastAsia" w:ascii="宋体" w:hAnsi="宋体" w:eastAsia="宋体" w:cs="宋体"/>
                <w:color w:val="auto"/>
                <w:sz w:val="24"/>
                <w:highlight w:val="none"/>
              </w:rPr>
              <w:t>时（北京时间）</w:t>
            </w:r>
          </w:p>
          <w:p>
            <w:pPr>
              <w:widowControl/>
              <w:spacing w:line="440" w:lineRule="exact"/>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地点：济宁医学院太白湖校区图文信息楼639室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33"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22</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响应文件</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的密封要求</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密封套应标注项目名称、供应商名称等内容，密封套封口处应加盖供应商单位公章。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hint="eastAsia" w:ascii="宋体" w:hAnsi="宋体" w:cs="宋体" w:eastAsiaTheme="minorEastAsia"/>
                <w:color w:val="auto"/>
                <w:kern w:val="0"/>
                <w:sz w:val="24"/>
                <w:szCs w:val="24"/>
                <w:highlight w:val="none"/>
                <w:lang w:val="en-US" w:eastAsia="zh-CN" w:bidi="ar-SA"/>
              </w:rPr>
            </w:pP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份数</w:t>
            </w:r>
          </w:p>
        </w:tc>
        <w:tc>
          <w:tcPr>
            <w:tcW w:w="7384" w:type="dxa"/>
            <w:tcBorders>
              <w:top w:val="single" w:color="auto" w:sz="4" w:space="0"/>
              <w:left w:val="single" w:color="auto" w:sz="4" w:space="0"/>
              <w:bottom w:val="single" w:color="auto" w:sz="4" w:space="0"/>
              <w:right w:val="single" w:color="auto" w:sz="4" w:space="0"/>
            </w:tcBorders>
            <w:vAlign w:val="top"/>
          </w:tcPr>
          <w:p>
            <w:pPr>
              <w:widowControl/>
              <w:adjustRightIn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份（正本一份，副本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w:t>
            </w:r>
          </w:p>
          <w:p>
            <w:pPr>
              <w:widowControl/>
              <w:adjustRightInd w:val="0"/>
              <w:spacing w:line="440" w:lineRule="exact"/>
              <w:rPr>
                <w:rFonts w:hint="eastAsia"/>
                <w:color w:val="auto"/>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报价一览</w:t>
            </w:r>
            <w:r>
              <w:rPr>
                <w:rFonts w:hint="eastAsia" w:ascii="宋体" w:hAnsi="宋体" w:eastAsia="宋体" w:cs="宋体"/>
                <w:color w:val="auto"/>
                <w:sz w:val="24"/>
                <w:highlight w:val="none"/>
              </w:rPr>
              <w:t>表一式两份，单独密封</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33"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纸质响应文件</w:t>
            </w:r>
          </w:p>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1、响应文件的正本与副本应分别装订成册。</w:t>
            </w:r>
          </w:p>
          <w:p>
            <w:pPr>
              <w:widowControl/>
              <w:adjustRightIn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2、响应文件每册均须采用胶装方式在左侧装订，装订须牢固不易拆散和换页，不得采用活页方式装订，否则做无效报价处理。</w:t>
            </w:r>
          </w:p>
          <w:p>
            <w:pPr>
              <w:widowControl/>
              <w:adjustRightInd w:val="0"/>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bidi="ar"/>
              </w:rPr>
              <w:t>各标段分别按上述要求装订。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履约担保</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为保证服务质量，签订合同前，乙方向甲方交纳合同额5%的履约保证金，项目履约完成后，无质量问题一个月内无息退还。</w:t>
            </w:r>
          </w:p>
          <w:p>
            <w:pPr>
              <w:widowControl/>
              <w:adjustRightInd w:val="0"/>
              <w:spacing w:line="440" w:lineRule="exact"/>
              <w:rPr>
                <w:color w:val="auto"/>
                <w:highlight w:val="none"/>
              </w:rPr>
            </w:pPr>
            <w:r>
              <w:rPr>
                <w:rFonts w:hint="eastAsia" w:ascii="宋体" w:hAnsi="宋体" w:eastAsia="宋体" w:cs="宋体"/>
                <w:color w:val="auto"/>
                <w:sz w:val="24"/>
                <w:highlight w:val="none"/>
                <w:lang w:eastAsia="zh-CN"/>
              </w:rPr>
              <w:t>若成交供应商不能按本磋商文件要求提交履约保证金的，将视为放弃中标资格，并没收其磋商保证金，给采购人造成的损失超过磋商保证金数额的，还应当对超过部分予以赔偿，并按有关规定进行处理。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24</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知识产权</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供应商须保证采购人在使用该货物或其任何一部分时不受到第三方关于侵犯专利权、商标权或工业编制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25</w:t>
            </w:r>
          </w:p>
        </w:tc>
        <w:tc>
          <w:tcPr>
            <w:tcW w:w="220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738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26</w:t>
            </w:r>
          </w:p>
        </w:tc>
        <w:tc>
          <w:tcPr>
            <w:tcW w:w="958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在任何磋商环节中，需竞争性磋商小组就某项定性的评审结论做出表决的，由竞争性磋商小组全体成员按照少数服从多数的原则，以记名投票方式表决。</w:t>
            </w:r>
          </w:p>
        </w:tc>
      </w:tr>
    </w:tbl>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供应商须知正文部分</w:t>
      </w:r>
    </w:p>
    <w:p>
      <w:pPr>
        <w:spacing w:line="440" w:lineRule="exact"/>
        <w:rPr>
          <w:rFonts w:ascii="宋体" w:hAnsi="宋体" w:eastAsia="宋体" w:cs="宋体"/>
          <w:b/>
          <w:color w:val="auto"/>
          <w:sz w:val="24"/>
          <w:highlight w:val="none"/>
        </w:rPr>
      </w:pPr>
      <w:bookmarkStart w:id="5" w:name="_Toc312072227"/>
      <w:bookmarkStart w:id="6" w:name="_Toc269310919"/>
      <w:bookmarkStart w:id="7" w:name="_Toc144974498"/>
      <w:bookmarkStart w:id="8" w:name="_Toc152045530"/>
      <w:bookmarkStart w:id="9" w:name="_Toc152042306"/>
      <w:r>
        <w:rPr>
          <w:rFonts w:hint="eastAsia" w:ascii="宋体" w:hAnsi="宋体" w:eastAsia="宋体" w:cs="宋体"/>
          <w:b/>
          <w:color w:val="auto"/>
          <w:sz w:val="24"/>
          <w:highlight w:val="none"/>
        </w:rPr>
        <w:t>1. 总则</w:t>
      </w:r>
      <w:bookmarkEnd w:id="5"/>
      <w:bookmarkEnd w:id="6"/>
    </w:p>
    <w:p>
      <w:pPr>
        <w:spacing w:line="440" w:lineRule="exact"/>
        <w:rPr>
          <w:rFonts w:ascii="宋体" w:hAnsi="宋体" w:eastAsia="宋体" w:cs="宋体"/>
          <w:b/>
          <w:color w:val="auto"/>
          <w:sz w:val="24"/>
          <w:highlight w:val="none"/>
        </w:rPr>
      </w:pPr>
      <w:bookmarkStart w:id="10" w:name="_Toc269310920"/>
      <w:bookmarkStart w:id="11" w:name="_Toc312072228"/>
      <w:r>
        <w:rPr>
          <w:rFonts w:hint="eastAsia" w:ascii="宋体" w:hAnsi="宋体" w:eastAsia="宋体" w:cs="宋体"/>
          <w:b/>
          <w:color w:val="auto"/>
          <w:sz w:val="24"/>
          <w:highlight w:val="none"/>
        </w:rPr>
        <w:t>1.1 项目概况</w:t>
      </w:r>
      <w:bookmarkEnd w:id="7"/>
      <w:bookmarkEnd w:id="8"/>
      <w:bookmarkEnd w:id="9"/>
      <w:bookmarkEnd w:id="10"/>
      <w:bookmarkEnd w:id="11"/>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1.1.1根据《中华人民共和国政府采购法》、《中华人民共和国政府采购法实施条例》等有关法律、法规规定，本项目已具备采购条件，现采用竞争性磋商采购方式对该项目进行采购；</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1.1.2 本项目采购人：见供应商须知前附表；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1.1.3 本项目采购代理机构：见供应商须知前附表；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1.1.4 本项目名称、项目编号：见供应商须知前附表；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1.1.5 本项目采购内容：见供应商须知前附表。</w:t>
      </w:r>
    </w:p>
    <w:p>
      <w:pPr>
        <w:spacing w:line="440" w:lineRule="exact"/>
        <w:rPr>
          <w:rFonts w:ascii="宋体" w:hAnsi="宋体" w:eastAsia="宋体" w:cs="宋体"/>
          <w:b/>
          <w:bCs/>
          <w:color w:val="auto"/>
          <w:sz w:val="24"/>
          <w:highlight w:val="none"/>
        </w:rPr>
      </w:pPr>
      <w:bookmarkStart w:id="12" w:name="_Toc152042307"/>
      <w:bookmarkStart w:id="13" w:name="_Toc152045531"/>
      <w:bookmarkStart w:id="14" w:name="_Toc269310921"/>
      <w:bookmarkStart w:id="15" w:name="_Toc312072229"/>
      <w:bookmarkStart w:id="16" w:name="_Toc144974499"/>
      <w:r>
        <w:rPr>
          <w:rFonts w:hint="eastAsia" w:ascii="宋体" w:hAnsi="宋体" w:eastAsia="宋体" w:cs="宋体"/>
          <w:b/>
          <w:bCs/>
          <w:color w:val="auto"/>
          <w:sz w:val="24"/>
          <w:highlight w:val="none"/>
        </w:rPr>
        <w:t>1.2采购方式</w:t>
      </w:r>
      <w:bookmarkEnd w:id="12"/>
      <w:bookmarkEnd w:id="13"/>
      <w:bookmarkEnd w:id="14"/>
      <w:bookmarkEnd w:id="15"/>
      <w:bookmarkEnd w:id="16"/>
      <w:r>
        <w:rPr>
          <w:rFonts w:hint="eastAsia" w:ascii="宋体" w:hAnsi="宋体" w:eastAsia="宋体" w:cs="宋体"/>
          <w:b/>
          <w:bCs/>
          <w:color w:val="auto"/>
          <w:sz w:val="24"/>
          <w:highlight w:val="none"/>
        </w:rPr>
        <w:t>、采购预算</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1.2.1本项目采购方式见供应商须知前附表；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1.2.2本项目采购预算见供应商须知前附表。</w:t>
      </w:r>
    </w:p>
    <w:p>
      <w:pPr>
        <w:spacing w:line="440" w:lineRule="exact"/>
        <w:rPr>
          <w:rFonts w:ascii="宋体" w:hAnsi="宋体" w:eastAsia="宋体" w:cs="宋体"/>
          <w:b/>
          <w:bCs/>
          <w:color w:val="auto"/>
          <w:sz w:val="24"/>
          <w:highlight w:val="none"/>
        </w:rPr>
      </w:pPr>
      <w:bookmarkStart w:id="17" w:name="_Toc144974500"/>
      <w:bookmarkStart w:id="18" w:name="_Toc269310922"/>
      <w:bookmarkStart w:id="19" w:name="_Toc152042308"/>
      <w:bookmarkStart w:id="20" w:name="_Toc312072230"/>
      <w:bookmarkStart w:id="21" w:name="_Toc152045532"/>
      <w:r>
        <w:rPr>
          <w:rFonts w:hint="eastAsia" w:ascii="宋体" w:hAnsi="宋体" w:eastAsia="宋体" w:cs="宋体"/>
          <w:b/>
          <w:bCs/>
          <w:color w:val="auto"/>
          <w:sz w:val="24"/>
          <w:highlight w:val="none"/>
        </w:rPr>
        <w:t>1.3 服务周期、</w:t>
      </w:r>
      <w:bookmarkEnd w:id="17"/>
      <w:bookmarkEnd w:id="18"/>
      <w:bookmarkEnd w:id="19"/>
      <w:bookmarkEnd w:id="20"/>
      <w:bookmarkEnd w:id="21"/>
      <w:r>
        <w:rPr>
          <w:rFonts w:hint="eastAsia" w:ascii="宋体" w:hAnsi="宋体" w:eastAsia="宋体" w:cs="宋体"/>
          <w:b/>
          <w:bCs/>
          <w:color w:val="auto"/>
          <w:sz w:val="24"/>
          <w:highlight w:val="none"/>
        </w:rPr>
        <w:t>质量要求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1.3.1本项目服务周期见供应商须知前附表；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1.3.2本项目质量要求见供应商须知前附表。</w:t>
      </w:r>
    </w:p>
    <w:p>
      <w:pPr>
        <w:spacing w:line="440" w:lineRule="exact"/>
        <w:rPr>
          <w:rFonts w:ascii="宋体" w:hAnsi="宋体" w:eastAsia="宋体" w:cs="宋体"/>
          <w:b/>
          <w:bCs/>
          <w:color w:val="auto"/>
          <w:sz w:val="24"/>
          <w:highlight w:val="none"/>
        </w:rPr>
      </w:pPr>
      <w:bookmarkStart w:id="22" w:name="_Toc269310923"/>
      <w:bookmarkStart w:id="23" w:name="_Toc312072231"/>
      <w:r>
        <w:rPr>
          <w:rFonts w:hint="eastAsia" w:ascii="宋体" w:hAnsi="宋体" w:eastAsia="宋体" w:cs="宋体"/>
          <w:b/>
          <w:bCs/>
          <w:color w:val="auto"/>
          <w:sz w:val="24"/>
          <w:highlight w:val="none"/>
        </w:rPr>
        <w:t>1.4供应商资格要求</w:t>
      </w:r>
      <w:bookmarkEnd w:id="22"/>
      <w:bookmarkEnd w:id="23"/>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1.4.1具体详见供应商须知前附表。</w:t>
      </w:r>
    </w:p>
    <w:p>
      <w:pPr>
        <w:spacing w:line="440" w:lineRule="exact"/>
        <w:rPr>
          <w:rFonts w:ascii="宋体" w:hAnsi="宋体" w:eastAsia="宋体" w:cs="宋体"/>
          <w:b/>
          <w:color w:val="auto"/>
          <w:sz w:val="24"/>
          <w:highlight w:val="none"/>
        </w:rPr>
      </w:pPr>
      <w:bookmarkStart w:id="24" w:name="_Toc152042311"/>
      <w:bookmarkStart w:id="25" w:name="_Toc312072232"/>
      <w:bookmarkStart w:id="26" w:name="_Toc152045535"/>
      <w:bookmarkStart w:id="27" w:name="_Toc144974503"/>
      <w:bookmarkStart w:id="28" w:name="_Toc269310924"/>
      <w:r>
        <w:rPr>
          <w:rFonts w:hint="eastAsia" w:ascii="宋体" w:hAnsi="宋体" w:eastAsia="宋体" w:cs="宋体"/>
          <w:b/>
          <w:color w:val="auto"/>
          <w:sz w:val="24"/>
          <w:highlight w:val="none"/>
        </w:rPr>
        <w:t>1.5 费用承担</w:t>
      </w:r>
      <w:bookmarkEnd w:id="24"/>
      <w:bookmarkEnd w:id="25"/>
      <w:bookmarkEnd w:id="26"/>
      <w:bookmarkEnd w:id="27"/>
      <w:bookmarkEnd w:id="28"/>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1.5.1供应商准备和参加报价活动发生的费用自理。</w:t>
      </w:r>
    </w:p>
    <w:p>
      <w:pPr>
        <w:spacing w:line="440" w:lineRule="exact"/>
        <w:ind w:firstLine="480" w:firstLineChars="200"/>
        <w:rPr>
          <w:rFonts w:ascii="宋体" w:hAnsi="宋体" w:eastAsia="宋体" w:cs="宋体"/>
          <w:color w:val="auto"/>
          <w:sz w:val="24"/>
          <w:highlight w:val="none"/>
        </w:rPr>
      </w:pPr>
      <w:bookmarkStart w:id="29" w:name="_Toc152045536"/>
      <w:bookmarkStart w:id="30" w:name="_Toc152042312"/>
      <w:bookmarkStart w:id="31" w:name="_Toc144974504"/>
      <w:r>
        <w:rPr>
          <w:rFonts w:hint="eastAsia" w:ascii="宋体" w:hAnsi="宋体" w:eastAsia="宋体" w:cs="宋体"/>
          <w:color w:val="auto"/>
          <w:sz w:val="24"/>
          <w:highlight w:val="none"/>
        </w:rPr>
        <w:t>1.5.2采购代理费：</w:t>
      </w:r>
      <w:bookmarkStart w:id="32" w:name="_Toc312072233"/>
      <w:bookmarkStart w:id="33" w:name="_Toc269310925"/>
      <w:r>
        <w:rPr>
          <w:rFonts w:hint="eastAsia" w:ascii="宋体" w:hAnsi="宋体" w:eastAsia="宋体" w:cs="宋体"/>
          <w:color w:val="auto"/>
          <w:sz w:val="24"/>
          <w:highlight w:val="none"/>
          <w:lang w:val="en-US" w:eastAsia="zh-CN"/>
        </w:rPr>
        <w:t>1500</w:t>
      </w:r>
      <w:r>
        <w:rPr>
          <w:rFonts w:hint="eastAsia" w:ascii="宋体" w:hAnsi="宋体" w:eastAsia="宋体" w:cs="宋体"/>
          <w:color w:val="auto"/>
          <w:sz w:val="24"/>
          <w:highlight w:val="none"/>
        </w:rPr>
        <w:t>元整，由成交供应商向采购代理机构支付。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1.6 保密</w:t>
      </w:r>
      <w:bookmarkEnd w:id="29"/>
      <w:bookmarkEnd w:id="30"/>
      <w:bookmarkEnd w:id="31"/>
      <w:bookmarkEnd w:id="32"/>
      <w:bookmarkEnd w:id="33"/>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参与采购活动的各方应对磋商文件和响应文件中的商业和技术等秘密保密，违者应对由此造成的后果承担法律责任。</w:t>
      </w:r>
    </w:p>
    <w:p>
      <w:pPr>
        <w:spacing w:line="440" w:lineRule="exact"/>
        <w:rPr>
          <w:rFonts w:ascii="宋体" w:hAnsi="宋体" w:eastAsia="宋体" w:cs="宋体"/>
          <w:b/>
          <w:color w:val="auto"/>
          <w:sz w:val="24"/>
          <w:highlight w:val="none"/>
        </w:rPr>
      </w:pPr>
      <w:bookmarkStart w:id="34" w:name="_Toc144974505"/>
      <w:bookmarkStart w:id="35" w:name="_Toc152045537"/>
      <w:bookmarkStart w:id="36" w:name="_Toc152042313"/>
      <w:bookmarkStart w:id="37" w:name="_Toc312072234"/>
      <w:bookmarkStart w:id="38" w:name="_Toc269310926"/>
      <w:r>
        <w:rPr>
          <w:rFonts w:hint="eastAsia" w:ascii="宋体" w:hAnsi="宋体" w:eastAsia="宋体" w:cs="宋体"/>
          <w:b/>
          <w:color w:val="auto"/>
          <w:sz w:val="24"/>
          <w:highlight w:val="none"/>
        </w:rPr>
        <w:t>1.7 语言</w:t>
      </w:r>
      <w:bookmarkEnd w:id="34"/>
      <w:r>
        <w:rPr>
          <w:rFonts w:hint="eastAsia" w:ascii="宋体" w:hAnsi="宋体" w:eastAsia="宋体" w:cs="宋体"/>
          <w:b/>
          <w:color w:val="auto"/>
          <w:sz w:val="24"/>
          <w:highlight w:val="none"/>
        </w:rPr>
        <w:t>文字</w:t>
      </w:r>
      <w:bookmarkEnd w:id="35"/>
      <w:bookmarkEnd w:id="36"/>
      <w:bookmarkEnd w:id="37"/>
      <w:bookmarkEnd w:id="38"/>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除专用术语外，与采购报价有关的语言均使用简体中文。必要时专用术语应附有简体中文注释。</w:t>
      </w:r>
    </w:p>
    <w:p>
      <w:pPr>
        <w:spacing w:line="440" w:lineRule="exact"/>
        <w:rPr>
          <w:rFonts w:ascii="宋体" w:hAnsi="宋体" w:eastAsia="宋体" w:cs="宋体"/>
          <w:b/>
          <w:color w:val="auto"/>
          <w:sz w:val="24"/>
          <w:highlight w:val="none"/>
        </w:rPr>
      </w:pPr>
      <w:bookmarkStart w:id="39" w:name="_Toc152045538"/>
      <w:bookmarkStart w:id="40" w:name="_Toc269310927"/>
      <w:bookmarkStart w:id="41" w:name="_Toc152042314"/>
      <w:bookmarkStart w:id="42" w:name="_Toc144974506"/>
      <w:bookmarkStart w:id="43" w:name="_Toc312072235"/>
      <w:r>
        <w:rPr>
          <w:rFonts w:hint="eastAsia" w:ascii="宋体" w:hAnsi="宋体" w:eastAsia="宋体" w:cs="宋体"/>
          <w:b/>
          <w:color w:val="auto"/>
          <w:sz w:val="24"/>
          <w:highlight w:val="none"/>
        </w:rPr>
        <w:t>1.8计量单位</w:t>
      </w:r>
      <w:bookmarkEnd w:id="39"/>
      <w:bookmarkEnd w:id="40"/>
      <w:bookmarkEnd w:id="41"/>
      <w:bookmarkEnd w:id="42"/>
      <w:bookmarkEnd w:id="43"/>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所有计量均采用中华人民共和国法定计量单位。</w:t>
      </w:r>
    </w:p>
    <w:p>
      <w:pPr>
        <w:spacing w:line="440" w:lineRule="exact"/>
        <w:rPr>
          <w:rFonts w:ascii="宋体" w:hAnsi="宋体" w:eastAsia="宋体" w:cs="宋体"/>
          <w:b/>
          <w:color w:val="auto"/>
          <w:sz w:val="24"/>
          <w:highlight w:val="none"/>
        </w:rPr>
      </w:pPr>
      <w:bookmarkStart w:id="44" w:name="_Toc269310928"/>
      <w:bookmarkStart w:id="45" w:name="_Toc144974507"/>
      <w:bookmarkStart w:id="46" w:name="_Toc312072236"/>
      <w:bookmarkStart w:id="47" w:name="_Toc152042315"/>
      <w:bookmarkStart w:id="48" w:name="_Toc152045539"/>
      <w:r>
        <w:rPr>
          <w:rFonts w:hint="eastAsia" w:ascii="宋体" w:hAnsi="宋体" w:eastAsia="宋体" w:cs="宋体"/>
          <w:b/>
          <w:color w:val="auto"/>
          <w:sz w:val="24"/>
          <w:highlight w:val="none"/>
        </w:rPr>
        <w:t>1.9 踏勘现场</w:t>
      </w:r>
      <w:bookmarkEnd w:id="44"/>
      <w:bookmarkEnd w:id="45"/>
      <w:bookmarkEnd w:id="46"/>
      <w:bookmarkEnd w:id="47"/>
      <w:bookmarkEnd w:id="48"/>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1.9.1不统一组织踏勘现场，供应商可根据需要自行到项目现场进行踏勘。</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1.9.2 供应商踏勘现场发生的费用自理。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1.9.3 采购人在踏勘现场中介绍的工程场地和相关的周边环境情况，供应商在编制响应文件时参考，采购人不对供应商据此作出的判断和决策负责。</w:t>
      </w:r>
    </w:p>
    <w:p>
      <w:pPr>
        <w:spacing w:line="440" w:lineRule="exact"/>
        <w:rPr>
          <w:rFonts w:ascii="宋体" w:hAnsi="宋体" w:eastAsia="宋体" w:cs="宋体"/>
          <w:b/>
          <w:color w:val="auto"/>
          <w:sz w:val="24"/>
          <w:highlight w:val="none"/>
        </w:rPr>
      </w:pPr>
      <w:bookmarkStart w:id="49" w:name="_Toc312072239"/>
      <w:r>
        <w:rPr>
          <w:rFonts w:hint="eastAsia" w:ascii="宋体" w:hAnsi="宋体" w:eastAsia="宋体" w:cs="宋体"/>
          <w:b/>
          <w:color w:val="auto"/>
          <w:sz w:val="24"/>
          <w:highlight w:val="none"/>
        </w:rPr>
        <w:t>1.10 偏离</w:t>
      </w:r>
      <w:bookmarkEnd w:id="49"/>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不允许</w:t>
      </w:r>
    </w:p>
    <w:p>
      <w:pPr>
        <w:spacing w:line="440" w:lineRule="exact"/>
        <w:rPr>
          <w:rFonts w:ascii="宋体" w:hAnsi="宋体" w:eastAsia="宋体" w:cs="宋体"/>
          <w:b/>
          <w:color w:val="auto"/>
          <w:sz w:val="24"/>
          <w:highlight w:val="none"/>
        </w:rPr>
      </w:pPr>
      <w:bookmarkStart w:id="50" w:name="_Toc269310930"/>
      <w:bookmarkStart w:id="51" w:name="_Toc152045542"/>
      <w:bookmarkStart w:id="52" w:name="_Toc152042318"/>
      <w:bookmarkStart w:id="53" w:name="_Toc312072240"/>
      <w:bookmarkStart w:id="54" w:name="_Toc144974510"/>
      <w:r>
        <w:rPr>
          <w:rFonts w:hint="eastAsia" w:ascii="宋体" w:hAnsi="宋体" w:eastAsia="宋体" w:cs="宋体"/>
          <w:b/>
          <w:color w:val="auto"/>
          <w:sz w:val="24"/>
          <w:highlight w:val="none"/>
        </w:rPr>
        <w:t>2. 磋商文件</w:t>
      </w:r>
      <w:bookmarkEnd w:id="50"/>
      <w:bookmarkEnd w:id="51"/>
      <w:bookmarkEnd w:id="52"/>
      <w:bookmarkEnd w:id="53"/>
      <w:bookmarkEnd w:id="54"/>
    </w:p>
    <w:p>
      <w:pPr>
        <w:spacing w:line="440" w:lineRule="exact"/>
        <w:rPr>
          <w:rFonts w:ascii="宋体" w:hAnsi="宋体" w:eastAsia="宋体" w:cs="宋体"/>
          <w:b/>
          <w:color w:val="auto"/>
          <w:sz w:val="24"/>
          <w:highlight w:val="none"/>
        </w:rPr>
      </w:pPr>
      <w:bookmarkStart w:id="55" w:name="_Toc269310931"/>
      <w:bookmarkStart w:id="56" w:name="_Toc312072241"/>
      <w:bookmarkStart w:id="57" w:name="_Toc152045543"/>
      <w:bookmarkStart w:id="58" w:name="_Toc144974511"/>
      <w:bookmarkStart w:id="59" w:name="_Toc152042319"/>
      <w:r>
        <w:rPr>
          <w:rFonts w:hint="eastAsia" w:ascii="宋体" w:hAnsi="宋体" w:eastAsia="宋体" w:cs="宋体"/>
          <w:b/>
          <w:color w:val="auto"/>
          <w:sz w:val="24"/>
          <w:highlight w:val="none"/>
        </w:rPr>
        <w:t>2.1 磋商文件的组成</w:t>
      </w:r>
      <w:bookmarkEnd w:id="55"/>
      <w:bookmarkEnd w:id="56"/>
      <w:bookmarkEnd w:id="57"/>
      <w:bookmarkEnd w:id="58"/>
      <w:bookmarkEnd w:id="59"/>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本次采购项目的磋商文件包含以下部分：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（1）竞争性磋商公告</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（2）供应商须知</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（3）项目说明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（4）合同格式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（5）响应文件格式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（6）评分标准</w:t>
      </w:r>
    </w:p>
    <w:p>
      <w:pPr>
        <w:spacing w:line="44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获取磋商文件后，应仔细检查磋商文件的所有内容，如有残缺等问题应在获得磋商文件当日向采购人或采购代理机构提出，否则，由此引起的损失由供应商自行承担。供应商同时应认真审阅磋商文件中所有的事项、格式、条款和规范要求等，若供应商的响应文件没有按磋商文件要求提交全部资料，或响应文件没有对磋商文件做出实质性响应，其风险由供应商自行承担，并根据有关条款，该响应文件有可能被拒绝。</w:t>
      </w:r>
    </w:p>
    <w:p>
      <w:pPr>
        <w:spacing w:line="440" w:lineRule="exact"/>
        <w:ind w:firstLine="480" w:firstLineChars="200"/>
        <w:rPr>
          <w:rFonts w:ascii="宋体" w:hAnsi="宋体" w:eastAsia="宋体" w:cs="宋体"/>
          <w:color w:val="auto"/>
          <w:sz w:val="24"/>
          <w:szCs w:val="20"/>
          <w:highlight w:val="none"/>
        </w:rPr>
      </w:pPr>
      <w:r>
        <w:rPr>
          <w:rFonts w:hint="eastAsia" w:ascii="宋体" w:hAnsi="宋体" w:eastAsia="宋体" w:cs="宋体"/>
          <w:color w:val="auto"/>
          <w:sz w:val="24"/>
          <w:highlight w:val="none"/>
        </w:rPr>
        <w:t>供应商对磋商文件提出的澄清要求，应以书面形式通知到采购代理机构。招标采购单位对已发出的磋商文件进行必要的澄清时或者修改的，将在磋商文件要求提交响应文件截止时间5日前，在中国采购与招标网发布媒体上发布更正公告，该澄清或者修改的内容作为磋商文件的组成部分，对所有供应商具有约束力。</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响应文件</w:t>
      </w:r>
    </w:p>
    <w:p>
      <w:pPr>
        <w:spacing w:line="440" w:lineRule="exact"/>
        <w:rPr>
          <w:rFonts w:ascii="宋体" w:hAnsi="宋体" w:eastAsia="宋体" w:cs="宋体"/>
          <w:b/>
          <w:color w:val="auto"/>
          <w:sz w:val="24"/>
          <w:highlight w:val="none"/>
        </w:rPr>
      </w:pPr>
      <w:bookmarkStart w:id="60" w:name="_Toc232995488"/>
      <w:bookmarkStart w:id="61" w:name="_Toc152045547"/>
      <w:bookmarkStart w:id="62" w:name="_Toc269310935"/>
      <w:bookmarkStart w:id="63" w:name="_Toc312072245"/>
      <w:bookmarkStart w:id="64" w:name="_Toc144974515"/>
      <w:bookmarkStart w:id="65" w:name="_Toc152042323"/>
      <w:r>
        <w:rPr>
          <w:rFonts w:hint="eastAsia" w:ascii="宋体" w:hAnsi="宋体" w:eastAsia="宋体" w:cs="宋体"/>
          <w:b/>
          <w:color w:val="auto"/>
          <w:sz w:val="24"/>
          <w:highlight w:val="none"/>
        </w:rPr>
        <w:t>3.1 响应文件的组成</w:t>
      </w:r>
      <w:bookmarkEnd w:id="60"/>
      <w:bookmarkEnd w:id="61"/>
      <w:bookmarkEnd w:id="62"/>
      <w:bookmarkEnd w:id="63"/>
      <w:bookmarkEnd w:id="64"/>
      <w:bookmarkEnd w:id="65"/>
      <w:bookmarkStart w:id="66" w:name="_Toc232832502"/>
      <w:bookmarkStart w:id="67" w:name="_Toc232832203"/>
    </w:p>
    <w:bookmarkEnd w:id="66"/>
    <w:bookmarkEnd w:id="67"/>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 商务部分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（2）法定代表人身份证明或附有法定代表人身份证明的授权委托书</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（3）报价一览表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（4）报价明细表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）经营业绩一览表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）合理化建议、优惠条款及具体的服务承诺</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）报价单位认为需要提交的其他文件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3.2供应商简介及资质（资格、资质证明文件）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1）营业执照等证件复印件（加盖公章）； </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2）法人代表身份证复印件或法定代表人授权委托书原件、委托人身份证复印件（附件）； </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3）相关资质、资格证书等复印件（加盖公章）；</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4）企业简介及企业所获荣誉等；</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5）供应商的财务报表，包括资产负债表、损益表；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6）供应商认为需要提交的其他文件。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3.3技术部分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z w:val="24"/>
          <w:szCs w:val="20"/>
          <w:highlight w:val="none"/>
        </w:rPr>
        <w:t>技术文件</w:t>
      </w:r>
    </w:p>
    <w:p>
      <w:pPr>
        <w:pStyle w:val="26"/>
        <w:widowControl/>
        <w:tabs>
          <w:tab w:val="left" w:pos="382"/>
          <w:tab w:val="left" w:pos="720"/>
        </w:tabs>
        <w:spacing w:line="400" w:lineRule="exact"/>
        <w:ind w:left="98" w:leftChars="47" w:firstLine="480" w:firstLineChars="200"/>
        <w:rPr>
          <w:rFonts w:ascii="宋体" w:hAnsi="宋体" w:cs="宋体"/>
          <w:color w:val="auto"/>
          <w:sz w:val="24"/>
          <w:highlight w:val="none"/>
        </w:rPr>
      </w:pPr>
      <w:r>
        <w:rPr>
          <w:rFonts w:hint="eastAsia" w:ascii="宋体" w:hAnsi="宋体" w:cs="宋体"/>
          <w:color w:val="auto"/>
          <w:sz w:val="24"/>
          <w:highlight w:val="none"/>
        </w:rPr>
        <w:t>（1）维保方案</w:t>
      </w:r>
    </w:p>
    <w:p>
      <w:pPr>
        <w:pStyle w:val="26"/>
        <w:widowControl/>
        <w:tabs>
          <w:tab w:val="left" w:pos="382"/>
          <w:tab w:val="left" w:pos="720"/>
        </w:tabs>
        <w:spacing w:line="400" w:lineRule="exact"/>
        <w:ind w:left="98" w:leftChars="47" w:firstLine="480" w:firstLineChars="200"/>
        <w:rPr>
          <w:rFonts w:ascii="宋体" w:hAnsi="宋体" w:cs="宋体"/>
          <w:color w:val="auto"/>
          <w:sz w:val="24"/>
          <w:highlight w:val="none"/>
        </w:rPr>
      </w:pPr>
      <w:r>
        <w:rPr>
          <w:rFonts w:hint="eastAsia" w:ascii="宋体" w:hAnsi="宋体" w:cs="宋体"/>
          <w:color w:val="auto"/>
          <w:sz w:val="24"/>
          <w:highlight w:val="none"/>
        </w:rPr>
        <w:t>（2）设备更换方案</w:t>
      </w:r>
    </w:p>
    <w:p>
      <w:pPr>
        <w:pStyle w:val="26"/>
        <w:widowControl/>
        <w:tabs>
          <w:tab w:val="left" w:pos="382"/>
          <w:tab w:val="left" w:pos="720"/>
        </w:tabs>
        <w:spacing w:line="400" w:lineRule="exact"/>
        <w:ind w:left="98" w:leftChars="47" w:firstLine="480" w:firstLineChars="200"/>
        <w:rPr>
          <w:rFonts w:ascii="宋体" w:hAnsi="宋体" w:cs="宋体"/>
          <w:color w:val="auto"/>
          <w:sz w:val="24"/>
          <w:highlight w:val="none"/>
        </w:rPr>
      </w:pPr>
      <w:r>
        <w:rPr>
          <w:rFonts w:hint="eastAsia" w:ascii="宋体" w:hAnsi="宋体" w:cs="宋体"/>
          <w:color w:val="auto"/>
          <w:kern w:val="10"/>
          <w:sz w:val="24"/>
          <w:highlight w:val="none"/>
        </w:rPr>
        <w:t>（3）项目班子配备</w:t>
      </w:r>
    </w:p>
    <w:p>
      <w:pPr>
        <w:pStyle w:val="26"/>
        <w:widowControl/>
        <w:tabs>
          <w:tab w:val="left" w:pos="382"/>
          <w:tab w:val="left" w:pos="720"/>
        </w:tabs>
        <w:spacing w:line="400" w:lineRule="exact"/>
        <w:ind w:left="98" w:leftChars="47"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10"/>
          <w:sz w:val="24"/>
          <w:highlight w:val="none"/>
        </w:rPr>
        <w:t>报价单位认为需要提交的其他文件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3.2 报价要求</w:t>
      </w:r>
    </w:p>
    <w:p>
      <w:pPr>
        <w:spacing w:line="440" w:lineRule="exact"/>
        <w:ind w:firstLine="480"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Cs/>
          <w:color w:val="auto"/>
          <w:sz w:val="24"/>
          <w:highlight w:val="none"/>
        </w:rPr>
        <w:t>本次竞争性磋商将有再次报价的机会（最多不超过二次），每次报价均应书面确认，最终报价将作为计算报价得分的依据</w:t>
      </w:r>
      <w:r>
        <w:rPr>
          <w:rFonts w:hint="eastAsia" w:ascii="宋体" w:hAnsi="宋体" w:eastAsia="宋体" w:cs="宋体"/>
          <w:b/>
          <w:color w:val="auto"/>
          <w:sz w:val="24"/>
          <w:highlight w:val="none"/>
        </w:rPr>
        <w:t>（每次报价均不得超过本项目采购预算，且后一次报价不得高于前一次报价）。</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（2）报价币种为人民币。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（3）磋商过程中磋商文件有实质性变动的，采购人将通知所有参与磋商的供应商，供应商据此再次报价。</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（4）供应商在报价时只允许提供一个方案。</w:t>
      </w:r>
    </w:p>
    <w:p>
      <w:pPr>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本项目投标报价含维修保养费、安装费、人工费、材料费、机械费、管理费、利润、规费、税金、政策性文件规定费用、各类措施费（特别是文明施工措施费）、风险费、垃圾清理及外运费、施工用水、用电费、竣工验收检测费等所有费用。供应商应充分考虑本项目合同实施期间可能发生的一切费用，并承担由此而带来的风险。凡供应商在报价中未列明但又为货物所必备的项目或遗漏项目，采购人将一律视为已包括在其报价中，在合同执行中将不予考虑；以及合同明示或暗示的所有责任、义务和不可抗力以外的一切风险。如不包含或有其他情况，须在响应文件中具体说明。供应商的报价不能超过采购预算，否则不予授标。报价人需写明具体参投产品技术参数，未附具体参数以无效标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（7）如果响应文件中大写金额和小写金额不一致时，以大写金额为准。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（8）供应商免费提供的项目，应先填写该项目的实际价格，并注明免费。此项不计入总报价，有优惠的，请将优惠一并折入货物价格，本项目不接收报价以外的价格优惠、赠与。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（9）本次报价为固定总价，成交价即为结算价。本项目报价总价为含税报价，项目实施过程中发生的一切费用由成交供应商自行负责。</w:t>
      </w:r>
    </w:p>
    <w:p>
      <w:pPr>
        <w:spacing w:line="440" w:lineRule="exact"/>
        <w:rPr>
          <w:rFonts w:ascii="宋体" w:hAnsi="宋体" w:eastAsia="宋体" w:cs="宋体"/>
          <w:b/>
          <w:color w:val="auto"/>
          <w:sz w:val="24"/>
          <w:highlight w:val="none"/>
        </w:rPr>
      </w:pPr>
      <w:bookmarkStart w:id="68" w:name="_Toc312072248"/>
      <w:r>
        <w:rPr>
          <w:rFonts w:hint="eastAsia" w:ascii="宋体" w:hAnsi="宋体" w:eastAsia="宋体" w:cs="宋体"/>
          <w:b/>
          <w:color w:val="auto"/>
          <w:sz w:val="24"/>
          <w:highlight w:val="none"/>
        </w:rPr>
        <w:t>3.3 报价有效期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 在供应商须知前附表规定的报价有效期内，供应商不得要求撤销或修改其响应文件。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3.3.2出现特殊情况需要延长报价有效期的，采购人将通过中国采购与招标网通知所有供应商延长报价有效期。</w:t>
      </w:r>
    </w:p>
    <w:bookmarkEnd w:id="68"/>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3.5</w:t>
      </w:r>
      <w:bookmarkStart w:id="69" w:name="_Toc312072251"/>
      <w:bookmarkStart w:id="70" w:name="_Toc152042330"/>
      <w:bookmarkStart w:id="71" w:name="_Toc152045554"/>
      <w:bookmarkStart w:id="72" w:name="_Toc269310940"/>
      <w:bookmarkStart w:id="73" w:name="_Toc144974522"/>
      <w:r>
        <w:rPr>
          <w:rFonts w:hint="eastAsia" w:ascii="宋体" w:hAnsi="宋体" w:eastAsia="宋体" w:cs="宋体"/>
          <w:b/>
          <w:color w:val="auto"/>
          <w:sz w:val="24"/>
          <w:highlight w:val="none"/>
        </w:rPr>
        <w:t>响应文件的编制</w:t>
      </w:r>
      <w:bookmarkEnd w:id="69"/>
      <w:bookmarkEnd w:id="70"/>
      <w:bookmarkEnd w:id="71"/>
      <w:bookmarkEnd w:id="72"/>
      <w:bookmarkEnd w:id="73"/>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3.5.1 响应文件应当对磋商文件有关服务周期 、报价有效期、质量要求、合同、技术标准和要求等实质性内容作出响应。</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3.5.2响应文件应用不褪色的材料书写或打印，并由供应商的法定代表人或其委托代理人签字或盖章并盖单位章。委托代理人签字或盖章的，响应文件应附法定代表人签署的授权委托书。响应文件应尽量避免涂改、行间插字或删除。如果出现上述情况，改动之处应加盖单位章并由供应商的法定代表人或其授权的代理人签字或盖章确认。</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3.5.3 响应文件正本壹份，副本份数见供应商须知前附表。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3.5.4响应文件的正本与副本应分别装订成册，并编制目录，具体装订要求见供应商须知前附表规定。</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3.6响应文件的修改与撤回</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3.6.1在供应商须知前附表中规定的报价截止时间前，供应商可以修改或撤回已递交的响应文件，但应以书面形式通知采购人。</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3.6.2供应商修改或撤回已递交响应文件的书面通知应按照供应商须知前附表的要求签字或盖章。采购人收到书面通知后，向供应商出具签收凭证。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3.6.3修改的内容为响应文件的组成部分。修改的响应文件应按照供应商须知前附表规定进行编制、密封、标记和递交，并标明“修改”字样。在报价截止时间之后，供应商不得补充、修改响应文件。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4. 响应文件的密封与递交</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4.1 响应文件的密封和标记</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4.1.1供应商应准备五份响应文件，一份正本和四份副本，并在每一份响应文件上要注明“正本”或“副本”字样，一旦正本和副本有差异，以正本为准。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4.1.2 供应商将响应文件正本、副本分别密封，并在封面明显处注明以下内容（封面格式见附件）：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项目编号、项目名称</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正本或副本</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供应商名称（加盖公章）、地址、邮编、电话、传真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4.1.3 为方便检查供应商的资格，请供应商另外单独准备一套资格、资质证明文件（复印件）并单独密封，在密封件正面加盖单位公章并在封面上注明“资格、资质证明文件”、供应商名称、地址、电话。在供应商报价的同时将“资格、资质证明文件”交磋商小组备查。</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4.1.4每一密封件在封口处加盖单位公章并注明“于2019年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9:00</w:t>
      </w:r>
      <w:r>
        <w:rPr>
          <w:rFonts w:hint="eastAsia" w:ascii="宋体" w:hAnsi="宋体" w:eastAsia="宋体" w:cs="宋体"/>
          <w:color w:val="auto"/>
          <w:sz w:val="24"/>
          <w:highlight w:val="none"/>
        </w:rPr>
        <w:t>时之前不准启封”字样。</w:t>
      </w:r>
    </w:p>
    <w:p>
      <w:pPr>
        <w:spacing w:line="440" w:lineRule="exact"/>
        <w:rPr>
          <w:rFonts w:ascii="宋体" w:hAnsi="宋体" w:eastAsia="宋体" w:cs="宋体"/>
          <w:b/>
          <w:color w:val="auto"/>
          <w:sz w:val="24"/>
          <w:highlight w:val="none"/>
        </w:rPr>
      </w:pPr>
      <w:bookmarkStart w:id="74" w:name="_Toc152042333"/>
      <w:bookmarkStart w:id="75" w:name="_Toc312072254"/>
      <w:bookmarkStart w:id="76" w:name="_Toc152045557"/>
      <w:bookmarkStart w:id="77" w:name="_Toc144974525"/>
      <w:bookmarkStart w:id="78" w:name="_Toc269310943"/>
      <w:r>
        <w:rPr>
          <w:rFonts w:hint="eastAsia" w:ascii="宋体" w:hAnsi="宋体" w:eastAsia="宋体" w:cs="宋体"/>
          <w:b/>
          <w:color w:val="auto"/>
          <w:sz w:val="24"/>
          <w:highlight w:val="none"/>
        </w:rPr>
        <w:t>4.2 响应文件的递交</w:t>
      </w:r>
      <w:bookmarkEnd w:id="74"/>
      <w:bookmarkEnd w:id="75"/>
      <w:bookmarkEnd w:id="76"/>
      <w:bookmarkEnd w:id="77"/>
      <w:bookmarkEnd w:id="78"/>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4.2.1供应商应在规定的报价截止时间前递交密封完好纸质响应文件。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4.2.2 供应商递交纸质响应文件的地点：见供应商须知前附表。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4.2.3 除供应商须知前附表另有规定外，供应商所递交的纸质响应文件不予退还。</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4.2.4 采购人收到纸质响应文件后，向供应商出具签收凭证。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4.2.5 逾期送达的或者未送达指定地点的纸质响应文件，采购人不予受理。</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报价</w:t>
      </w:r>
    </w:p>
    <w:p>
      <w:pPr>
        <w:spacing w:line="440" w:lineRule="exact"/>
        <w:rPr>
          <w:rFonts w:ascii="宋体" w:hAnsi="宋体" w:eastAsia="宋体" w:cs="宋体"/>
          <w:b/>
          <w:color w:val="auto"/>
          <w:sz w:val="24"/>
          <w:highlight w:val="none"/>
        </w:rPr>
      </w:pPr>
      <w:bookmarkStart w:id="79" w:name="_Toc312072257"/>
      <w:bookmarkStart w:id="80" w:name="_Toc152042336"/>
      <w:bookmarkStart w:id="81" w:name="_Toc269310947"/>
      <w:bookmarkStart w:id="82" w:name="_Toc152045560"/>
      <w:bookmarkStart w:id="83" w:name="_Toc144974528"/>
      <w:r>
        <w:rPr>
          <w:rFonts w:hint="eastAsia" w:ascii="宋体" w:hAnsi="宋体" w:eastAsia="宋体" w:cs="宋体"/>
          <w:b/>
          <w:color w:val="auto"/>
          <w:sz w:val="24"/>
          <w:highlight w:val="none"/>
        </w:rPr>
        <w:t>5.1 报价时间和地点</w:t>
      </w:r>
      <w:bookmarkEnd w:id="79"/>
      <w:bookmarkEnd w:id="80"/>
      <w:bookmarkEnd w:id="81"/>
      <w:bookmarkEnd w:id="82"/>
      <w:bookmarkEnd w:id="83"/>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在供应商须知前附表规定的报价截止时间（报价时间）和地点公开开标。所有供应商的法定代表人（或其委托代理人）准时参加，供应商的法定代表人（或其委托代理人）未按时参加报价会议的，其响应文件将被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5.2 报价程序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5.2.1按照磋商文件规定的时间、地点开标。监督人员、采购人、供应商参加。</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5.2.2 到报价截止时间，采购代理机构人员工作人员宣布报价截止等有关事项。</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5.2.3供应商相互检查响应文件的密封情况，法定代表人或其委托代理人签字确认。</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5.2.4供应商按照签到顺序依确定唱标顺序。</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5.2.5由代理机构工作人员开启响应文件。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5.2.6公开唱标。</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5.2.7开标仪式结束，进入评审阶段。</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6. 磋商</w:t>
      </w:r>
    </w:p>
    <w:p>
      <w:pPr>
        <w:pStyle w:val="8"/>
        <w:spacing w:after="0" w:line="440" w:lineRule="exact"/>
        <w:ind w:firstLine="480" w:firstLineChars="200"/>
        <w:rPr>
          <w:rFonts w:eastAsia="宋体" w:cs="宋体"/>
          <w:b/>
          <w:color w:val="auto"/>
          <w:sz w:val="24"/>
          <w:highlight w:val="none"/>
        </w:rPr>
      </w:pPr>
      <w:r>
        <w:rPr>
          <w:rFonts w:hint="eastAsia" w:eastAsia="宋体" w:cs="宋体"/>
          <w:b/>
          <w:color w:val="auto"/>
          <w:sz w:val="24"/>
          <w:highlight w:val="none"/>
        </w:rPr>
        <w:t>6.1磋商小组</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6.1.1磋商小组由采购人按照政府采购法律、法规的规定组建，采取随机抽取的方式产生，</w:t>
      </w:r>
      <w:r>
        <w:rPr>
          <w:rFonts w:hint="eastAsia" w:eastAsia="宋体" w:cs="宋体"/>
          <w:color w:val="auto"/>
          <w:sz w:val="24"/>
          <w:highlight w:val="none"/>
          <w:shd w:val="clear" w:color="auto" w:fill="FFFFFF"/>
        </w:rPr>
        <w:t>由采购人代表和评审专家共3人以上单数组成，其中评审专家人数不得少于磋商小组成员总数的2/3。</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6.1.2磋商小组成员有下列情形之一的，应当回避：</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（1）采购人或供应商的主要负责人的近亲属；</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（3）与供应商有经济利益关系，可能影响对报价公正评审的；</w:t>
      </w:r>
    </w:p>
    <w:p>
      <w:pPr>
        <w:spacing w:line="440" w:lineRule="exact"/>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（4）曾因在采购、磋商以及其他与招标采购有关活动中从事违法行为而受过行政处罚或刑事处罚的。</w:t>
      </w:r>
    </w:p>
    <w:p>
      <w:pPr>
        <w:pStyle w:val="10"/>
        <w:spacing w:line="440" w:lineRule="exact"/>
        <w:ind w:left="0" w:leftChars="0" w:firstLine="480"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6.2磋商原则</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“公平、公正、择优、效益”为本次竞争性磋商的基本原则，磋商小组按照这一原则的要求，公正、平等地对待各供应商。同时，在磋商过程中恪守以下原则：</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 xml:space="preserve">6.2.1客观性原则：磋商小组将严格按照磋商文件要求的内容，对供应商的响应文件进行认真评审；磋商小组对响应文件的评审仅依据响应文件本身，而不依靠响应文件以外的任何因素； </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6.2.2 统一性原则：磋商小组将按照统一的磋商原则和评审方法，用同一标准对各供应商的响应文件进行评审；</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6.2.3 独立性原则：评审工作在磋商小组内部独立进行，不受外界任何因素的干扰和影响。磋商小组成员对出具的磋商意见承担个人责任；</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6.2.4 物有所值原则：通过第一轮的公开报价，激发供应商展开竞争，进一步优化方案，并使报价符合预期目标；</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6.2.5保密性原则：保证磋商在严格保密的情况下进行；</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6.2.6 综合性原则：磋商小组将综合分析、评审供应商的各项指标，而不以单项指标的优劣推荐出成交候选人；</w:t>
      </w:r>
    </w:p>
    <w:p>
      <w:pPr>
        <w:pStyle w:val="8"/>
        <w:spacing w:after="0" w:line="440" w:lineRule="exact"/>
        <w:ind w:firstLine="480" w:firstLineChars="200"/>
        <w:rPr>
          <w:rFonts w:eastAsia="宋体" w:cs="宋体"/>
          <w:color w:val="auto"/>
          <w:sz w:val="24"/>
          <w:highlight w:val="none"/>
        </w:rPr>
      </w:pPr>
      <w:r>
        <w:rPr>
          <w:rFonts w:hint="eastAsia" w:eastAsia="宋体" w:cs="宋体"/>
          <w:color w:val="auto"/>
          <w:sz w:val="24"/>
          <w:highlight w:val="none"/>
        </w:rPr>
        <w:t>6.2.7 集体决定的原则：成交候选人由磋商小组集体推荐，并由监督人宣布成交候选人。</w:t>
      </w:r>
    </w:p>
    <w:p>
      <w:pPr>
        <w:pStyle w:val="10"/>
        <w:spacing w:line="440" w:lineRule="exact"/>
        <w:ind w:left="0" w:leftChars="0" w:firstLine="480"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6.3评审方法</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6.3.1本次磋商采用综合评分法，磋商小组综合评定各供应商提交的响应文件，由磋商小组综合各成员评分意见，推荐成交候选人。</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6.3.2  初步评审</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（1）磋商小组将确定每一供应商是否对竞争性磋商磋商文件的要求做出了实质性的响应，而没有重大偏离。实质性响应的报价是指报价符合竞争性磋商磋商文件的所有条款、条件和规定且没有重大偏离或保留。</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（2）如出现下列情形之一的，视为对竞争性磋商磋商文件没有做出实质性响应，按照无效报价处理。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a) 响应文件不完整；</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b) 未按规定报价；</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c) 报价有计算错误；</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d) 响应文件未按竞争性磋商文件要求签字或盖章；</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e) 响应文件载明的服务周期超过竞争性磋商磋商文件规定的时间；</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f) 供应商未按要求不参加公开报价仪式及询标事宜；</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g) 响应文件出现采购人名称、项目名称、技术参数等与磋商文件相关内容严重不一致的；</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h) 不符合竞争性磋商磋商文件中规定的其他实质性要求。</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（3）磋商小组允许供应商修改响应文件中不构成重大偏离的、微小的、非正规、不一致或不规则的地方。但是修改的内容不能改变响应文件的实质性内容，供应商修改的内容以书面文件为准。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（4）磋商小组将拒绝被确定为非实质性响应的响应文件，供应商不能通过修正或撤销响应文件中的不符之处而使其报价成为实质性响应的报价。</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5）磋商小组对各供应商的报价进行评审，对超出项目预算的报价或低于成本价的报价予以淘汰。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以低于成本报价竞标，其报价应作为废标处理。</w:t>
      </w:r>
    </w:p>
    <w:p>
      <w:pPr>
        <w:pStyle w:val="10"/>
        <w:spacing w:line="440" w:lineRule="exact"/>
        <w:ind w:left="0" w:leftChars="0"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kern w:val="0"/>
          <w:sz w:val="24"/>
          <w:highlight w:val="none"/>
        </w:rPr>
        <w:t>3磋商及最终响应文件</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磋商小组所有成员应当集中与单一供应商分别进行磋商，并给予所有参加磋商的供应商平等的磋商机会。</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在磋商过程中，磋商小组可以根据磋商文件和磋商情况实质性变动采购需求中的技术、服务要求以及合同草案条款，但不得变动磋商文件中的其他内容。实质性变动的内容，须经采购人代表确认。</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对磋商文件作出的实质性变动是磋商文件的有效组成部分，磋商小组应当及时以书面形式同时通知所有参加磋商的供应商。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最终响应文件应以密封形式递交，并在文件封面明显处注明项目编号、项目名称及供应商名称(加盖单位公章或授权人签字)。</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采购人将拒绝接收提交最终响应文件截止时间后送达的最终响应文件，在提交最终响应文件截止时间之后，供应商不得补充、修改、撤回最终响应文件。</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 xml:space="preserve"> 经磋商确定最终采购需求和提交最后报价的供应商后，由磋商小组采用综合评分法对提交最后报价的供应商的响应文件和最后报价进行综合评分。</w:t>
      </w:r>
    </w:p>
    <w:p>
      <w:pPr>
        <w:pStyle w:val="8"/>
        <w:spacing w:after="0" w:line="440" w:lineRule="exact"/>
        <w:ind w:firstLine="480" w:firstLineChars="200"/>
        <w:rPr>
          <w:rFonts w:eastAsia="宋体" w:cs="宋体"/>
          <w:color w:val="auto"/>
          <w:kern w:val="2"/>
          <w:sz w:val="24"/>
          <w:highlight w:val="none"/>
        </w:rPr>
      </w:pPr>
      <w:r>
        <w:rPr>
          <w:rFonts w:hint="eastAsia" w:eastAsia="宋体" w:cs="宋体"/>
          <w:color w:val="auto"/>
          <w:kern w:val="2"/>
          <w:sz w:val="24"/>
          <w:highlight w:val="none"/>
        </w:rPr>
        <w:t>6.3.4  详细评审</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（1）经磋商确定最终采购需求和提交最后报价的供应商后，由磋商小组采用综合评分法对提交最后报价的供应商的响应文件和最后报价进行综合评分。</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综合评分法，是指响应文件满足磋商文件全部实质性要求且按评审因素的量化指标评审得分最高的供应商为成交候选供应商的评审方法。具体评审办法详见“评分标准”。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当出现二个或二个以上</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的最终得分相同时，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应依次按照先商务标、再资信标、后技术标得分高低进行排序；即商务标得分高的排序优先，如商务标得分相同时，则资信标得分高的排序优先，如商务标与资信标得分均相同时，则技术标得分高的排序优先，以上3项得分都相同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全体成员按照少数服从多数的原则，以记名投票方式表决。</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依据评标方法及评标细则，对</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文件进行评审和比较，向</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人提出书面评标报告，并按得分高低排列顺序，各标段分别推荐3名合格的中标候选人。</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分为2个</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可同时投报2个</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，但每个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只能中1个</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。若同一</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在2个</w:t>
      </w:r>
      <w:r>
        <w:rPr>
          <w:rFonts w:hint="eastAsia" w:ascii="宋体" w:hAnsi="宋体" w:eastAsia="宋体" w:cs="宋体"/>
          <w:color w:val="auto"/>
          <w:sz w:val="24"/>
          <w:highlight w:val="none"/>
          <w:lang w:eastAsia="zh-CN"/>
        </w:rPr>
        <w:t>包</w:t>
      </w:r>
      <w:r>
        <w:rPr>
          <w:rFonts w:hint="eastAsia" w:ascii="宋体" w:hAnsi="宋体" w:eastAsia="宋体" w:cs="宋体"/>
          <w:color w:val="auto"/>
          <w:sz w:val="24"/>
          <w:highlight w:val="none"/>
        </w:rPr>
        <w:t>均排名第一时，该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为其中工程造价较大</w:t>
      </w:r>
      <w:r>
        <w:rPr>
          <w:rFonts w:hint="eastAsia" w:ascii="宋体" w:hAnsi="宋体" w:eastAsia="宋体" w:cs="宋体"/>
          <w:color w:val="auto"/>
          <w:sz w:val="24"/>
          <w:highlight w:val="none"/>
          <w:lang w:val="en-US" w:eastAsia="zh-CN"/>
        </w:rPr>
        <w:t>B包</w:t>
      </w:r>
      <w:r>
        <w:rPr>
          <w:rFonts w:hint="eastAsia" w:ascii="宋体" w:hAnsi="宋体" w:eastAsia="宋体" w:cs="宋体"/>
          <w:color w:val="auto"/>
          <w:sz w:val="24"/>
          <w:highlight w:val="none"/>
        </w:rPr>
        <w:t>排名第一的中标候选人；已被确定为排名第一的中标候选人，不再参与其他标段的排名。以此类推。</w:t>
      </w:r>
    </w:p>
    <w:p>
      <w:pPr>
        <w:spacing w:line="440" w:lineRule="exact"/>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6.3.5</w:t>
      </w:r>
      <w:r>
        <w:rPr>
          <w:rFonts w:hint="eastAsia" w:ascii="宋体" w:hAnsi="宋体" w:eastAsia="宋体" w:cs="宋体"/>
          <w:color w:val="auto"/>
          <w:kern w:val="0"/>
          <w:sz w:val="24"/>
          <w:highlight w:val="none"/>
        </w:rPr>
        <w:t>磋商小组完成评审后，应当提出书面评审报告。评审报告应当包括：</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（1）供应商参加采购活动的具体方式和相关情况；</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（2）响应文件开启日期和地点；</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（3）获取磋商文件的供应商名单和磋商小组成员名单；</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（4）评审情况记录和说明，包括对供应商的资格审查情况、供应商响应文件评审情况、磋商情况、报价情况等；</w:t>
      </w:r>
    </w:p>
    <w:p>
      <w:pPr>
        <w:spacing w:line="440" w:lineRule="exact"/>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（5）提出的成交候选供应商的排序名单及理由。</w:t>
      </w:r>
    </w:p>
    <w:p>
      <w:pPr>
        <w:pStyle w:val="10"/>
        <w:spacing w:line="440" w:lineRule="exact"/>
        <w:ind w:left="0" w:leftChars="0"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snapToGrid w:val="0"/>
          <w:color w:val="auto"/>
          <w:kern w:val="0"/>
          <w:sz w:val="24"/>
          <w:highlight w:val="none"/>
        </w:rPr>
        <w:t>磋商小组向采购人提交书面评审报告后，磋商小组即告解散。评审过程中使用的文件、表格以及其它资料应当立即交采购代理机构</w:t>
      </w:r>
      <w:r>
        <w:rPr>
          <w:rFonts w:hint="eastAsia" w:ascii="宋体" w:hAnsi="宋体" w:eastAsia="宋体" w:cs="宋体"/>
          <w:color w:val="auto"/>
          <w:kern w:val="0"/>
          <w:sz w:val="24"/>
          <w:highlight w:val="none"/>
        </w:rPr>
        <w:t>。</w:t>
      </w:r>
    </w:p>
    <w:p>
      <w:pPr>
        <w:pStyle w:val="8"/>
        <w:spacing w:after="0" w:line="440" w:lineRule="exact"/>
        <w:ind w:firstLine="480" w:firstLineChars="200"/>
        <w:textAlignment w:val="baseline"/>
        <w:rPr>
          <w:rFonts w:eastAsia="宋体" w:cs="宋体"/>
          <w:b/>
          <w:color w:val="auto"/>
          <w:sz w:val="24"/>
          <w:highlight w:val="none"/>
        </w:rPr>
      </w:pPr>
      <w:r>
        <w:rPr>
          <w:rFonts w:hint="eastAsia" w:eastAsia="宋体" w:cs="宋体"/>
          <w:b/>
          <w:color w:val="auto"/>
          <w:sz w:val="24"/>
          <w:highlight w:val="none"/>
        </w:rPr>
        <w:t>6.4特殊情况下的评审方法</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6.4.1关于磋商活动暂停</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磋商小组应当执行连续磋商的原则，按磋商办法中规定的程序、内容、方法、标准完成全部磋商工作。只有发生不可抗力导致磋商工作无法继续时，磋商活动方可暂停。</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发生磋商暂停情况时，磋商小组应当封存全部响应文件和磋商记录，待不可抗力的影响结束且具备继续磋商的条件时，由原磋商小组继续磋商。</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6.4.2关于磋商中途更换评委</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除非发生下列情况之一，磋商小组成员不得在磋商中途更换：</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（1）因不可抗拒的客观原因，不能到场或需在磋商中途退出磋商活动。</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（2）根据法律法规规定，某个或某几个磋商小组成员需要回避。</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退出磋商的磋商小组成员，其已完成的磋商行为无效。由采购人根据本磋商文件规定的磋商小组成员产生方式另行确定替代者进行磋商。</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6.4.3关于记名投票表决评审结论</w:t>
      </w:r>
    </w:p>
    <w:p>
      <w:pPr>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在任何磋商环节中，需磋商小组就某项定性的评审结论做出表决的，由磋商小组全体成员按照少数服从多数的原则，以记名投票方式表决。</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6.4.4如出现供应商达不到法定数量、串通报价、全部不符合磋商文件要求以及供应商互相诋毁，导致磋商小组无法评审时，磋商小组有权否决所有报价停止评审。采购人依法重新组织采购。</w:t>
      </w:r>
    </w:p>
    <w:p>
      <w:pPr>
        <w:pStyle w:val="8"/>
        <w:spacing w:after="0" w:line="440" w:lineRule="exact"/>
        <w:ind w:firstLine="480" w:firstLineChars="200"/>
        <w:textAlignment w:val="baseline"/>
        <w:rPr>
          <w:rFonts w:eastAsia="宋体" w:cs="宋体"/>
          <w:b/>
          <w:color w:val="auto"/>
          <w:sz w:val="24"/>
          <w:highlight w:val="none"/>
        </w:rPr>
      </w:pPr>
      <w:r>
        <w:rPr>
          <w:rFonts w:hint="eastAsia" w:eastAsia="宋体" w:cs="宋体"/>
          <w:b/>
          <w:color w:val="auto"/>
          <w:sz w:val="24"/>
          <w:highlight w:val="none"/>
        </w:rPr>
        <w:t>6.5无效报价</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6.5.1有下列情形之一的，应当按照无效报价处理：</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(一)在规定的递交响应文件截止时间之后递交的；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(二)未按磋商文件规定要求密封、签署、盖章的；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(三)不具备磋商文件中规定的资格要求的；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(四)未经财政部门核准，提供进口产品的（无）；</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(五)报价超过采购预算的；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(六)未全部响应磋商文件规定的实质性要求的；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(七)法定代表人或授权代表不参加报价仪式；</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(八)不符合法律、法规规定的其他情形。</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6.5.2供应商有下列情形之一，其报价将被视为无效报价，构成犯罪的，依法追究刑事责任：</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(一)在采购活动中有恶意串通行为的；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(二)成交后无正当理由不在磋商文件规定时间内与采购人签订合同的；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(三)捏造事实进行虚假投诉的；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(四)拒绝配合财政部门处理投诉、举报事项的；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（五）拒绝履行合同义务的；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（六）未按照磋商文件确定的事项签订政府采购合同，或者与采购人另行订立背离合同实质性内容的协议的；</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 xml:space="preserve"> (七)违反法律、法规规定的其他行为。</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6.5.3有下列情形之一的，视为串通报价，作废标处理：</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①不同供应商的响应文件由同一单位或者个人编制；</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②不同供应商委托同一单位或者个人办理报价事宜；</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③不同供应商的响应文件载明的项目管理成员为同一人；</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④不同供应商的响应文件异常一致或者报价呈规律性差异；</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⑤不同供应商的响应文件相互混装；</w:t>
      </w:r>
    </w:p>
    <w:p>
      <w:pPr>
        <w:pStyle w:val="8"/>
        <w:spacing w:after="0" w:line="440" w:lineRule="exact"/>
        <w:ind w:firstLine="482"/>
        <w:textAlignment w:val="baseline"/>
        <w:rPr>
          <w:rFonts w:eastAsia="宋体" w:cs="宋体"/>
          <w:color w:val="auto"/>
          <w:sz w:val="24"/>
          <w:highlight w:val="none"/>
        </w:rPr>
      </w:pPr>
      <w:r>
        <w:rPr>
          <w:rFonts w:hint="eastAsia" w:eastAsia="宋体" w:cs="宋体"/>
          <w:color w:val="auto"/>
          <w:sz w:val="24"/>
          <w:highlight w:val="none"/>
        </w:rPr>
        <w:t>⑥法律法规文件规定的其他情形。</w:t>
      </w:r>
    </w:p>
    <w:p>
      <w:pPr>
        <w:pStyle w:val="8"/>
        <w:spacing w:after="0" w:line="440" w:lineRule="exact"/>
        <w:ind w:firstLine="480" w:firstLineChars="200"/>
        <w:textAlignment w:val="baseline"/>
        <w:rPr>
          <w:rFonts w:eastAsia="宋体" w:cs="宋体"/>
          <w:b/>
          <w:color w:val="auto"/>
          <w:sz w:val="24"/>
          <w:highlight w:val="none"/>
        </w:rPr>
      </w:pPr>
      <w:r>
        <w:rPr>
          <w:rFonts w:hint="eastAsia" w:eastAsia="宋体" w:cs="宋体"/>
          <w:b/>
          <w:color w:val="auto"/>
          <w:sz w:val="24"/>
          <w:highlight w:val="none"/>
        </w:rPr>
        <w:t>6.6废除本次采购项目</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6.6.1采购项目出现下列情形之一的，采购人将予以废除本次采购项目：</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（1）出现影响采购公正的违法、违规行为的；</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（2）供应商的最终报价均超出控制价范围的；</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（3）因重大变故，采购任务取消的。</w:t>
      </w:r>
    </w:p>
    <w:p>
      <w:pPr>
        <w:pStyle w:val="8"/>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6.6.2 废除本次采购项目后，采购人将把废除本次采购项目理由通知所有供应商。</w:t>
      </w:r>
    </w:p>
    <w:p>
      <w:pPr>
        <w:pStyle w:val="8"/>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6.6.3出现下列情形之一的，采购人或者采购代理机构应当终止竞争性磋商采购活动，发布项目终止公告并说明原因，重新开展采购活动：</w:t>
      </w:r>
    </w:p>
    <w:p>
      <w:pPr>
        <w:pStyle w:val="8"/>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（1）因情况变化，不再符合规定的竞争性磋商采购方式适用情形的；</w:t>
      </w:r>
    </w:p>
    <w:p>
      <w:pPr>
        <w:pStyle w:val="8"/>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（2）出现影响采购公正的违法、违规行为的；</w:t>
      </w:r>
    </w:p>
    <w:p>
      <w:pPr>
        <w:pStyle w:val="8"/>
        <w:spacing w:after="0" w:line="440" w:lineRule="exact"/>
        <w:ind w:firstLine="480"/>
        <w:textAlignment w:val="baseline"/>
        <w:rPr>
          <w:rFonts w:eastAsia="宋体" w:cs="宋体"/>
          <w:color w:val="auto"/>
          <w:sz w:val="24"/>
          <w:highlight w:val="none"/>
        </w:rPr>
      </w:pPr>
      <w:r>
        <w:rPr>
          <w:rFonts w:hint="eastAsia" w:eastAsia="宋体" w:cs="宋体"/>
          <w:color w:val="auto"/>
          <w:sz w:val="24"/>
          <w:highlight w:val="none"/>
        </w:rPr>
        <w:t>（3）除《政府采购竞争性磋商采购方式管理暂行办法》第二十一条第三款规定的情形外，在采购过程中符合要求的供应商或者报价未超过采购预算的供应商不足3家的。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7.成交、合同</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7.1确定成交供应商</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磋商小组应当根据综合评分情况，按照评审得分由高到低顺序推荐3名成交候选供应商，并编写评审报告。</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shd w:val="clear" w:color="auto" w:fill="FFFFFF"/>
        </w:rPr>
        <w:t>采购代理机构应当在评审结束后2个工作日内将评审报告送采购人确认。采购人应当在收到评审报告后5个工作日内，从评审报告提出的成交候选供应商中，按照排序由高到低的原则确定</w:t>
      </w:r>
      <w:r>
        <w:rPr>
          <w:rFonts w:hint="eastAsia" w:eastAsia="宋体" w:cs="宋体"/>
          <w:color w:val="auto"/>
          <w:sz w:val="24"/>
          <w:highlight w:val="none"/>
        </w:rPr>
        <w:t>排名第一的成交候选人为</w:t>
      </w:r>
      <w:r>
        <w:rPr>
          <w:rFonts w:hint="eastAsia" w:eastAsia="宋体" w:cs="宋体"/>
          <w:color w:val="auto"/>
          <w:sz w:val="24"/>
          <w:highlight w:val="none"/>
          <w:shd w:val="clear" w:color="auto" w:fill="FFFFFF"/>
        </w:rPr>
        <w:t>成交供应商</w:t>
      </w:r>
      <w:r>
        <w:rPr>
          <w:rFonts w:hint="eastAsia" w:eastAsia="宋体" w:cs="宋体"/>
          <w:color w:val="auto"/>
          <w:sz w:val="24"/>
          <w:highlight w:val="none"/>
        </w:rPr>
        <w:t>。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组织采购。</w:t>
      </w:r>
    </w:p>
    <w:p>
      <w:pPr>
        <w:pStyle w:val="8"/>
        <w:spacing w:after="0" w:line="440" w:lineRule="exact"/>
        <w:ind w:firstLine="480" w:firstLineChars="200"/>
        <w:textAlignment w:val="baseline"/>
        <w:rPr>
          <w:rFonts w:eastAsia="宋体" w:cs="宋体"/>
          <w:color w:val="auto"/>
          <w:sz w:val="24"/>
          <w:highlight w:val="none"/>
        </w:rPr>
      </w:pPr>
      <w:r>
        <w:rPr>
          <w:rFonts w:hint="eastAsia" w:eastAsia="宋体" w:cs="宋体"/>
          <w:color w:val="auto"/>
          <w:sz w:val="24"/>
          <w:highlight w:val="none"/>
        </w:rPr>
        <w:t>确定成交结果后，公示期满未有异议，采购人将以成交通知书的方式通知成交供应商其报价被接受。</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7.2成交通知</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7.2.1确定成交结果后，采购人在规定时间内发出成交通知书，并按规定公告成交结果。</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7.2.2《成交通知书》将作为合同的组成部分。成交通知书发出后，采购人改变成交结果的，或者成交供应商放弃成交的，应当依法承担法律责任。</w:t>
      </w:r>
    </w:p>
    <w:p>
      <w:pPr>
        <w:spacing w:line="440" w:lineRule="exact"/>
        <w:rPr>
          <w:rFonts w:ascii="宋体" w:hAnsi="宋体" w:eastAsia="宋体" w:cs="宋体"/>
          <w:b/>
          <w:color w:val="auto"/>
          <w:sz w:val="24"/>
          <w:highlight w:val="none"/>
        </w:rPr>
      </w:pPr>
      <w:bookmarkStart w:id="84" w:name="_Toc312072267"/>
      <w:r>
        <w:rPr>
          <w:rFonts w:hint="eastAsia" w:ascii="宋体" w:hAnsi="宋体" w:eastAsia="宋体" w:cs="宋体"/>
          <w:b/>
          <w:color w:val="auto"/>
          <w:sz w:val="24"/>
          <w:highlight w:val="none"/>
        </w:rPr>
        <w:t>7.3 履约</w:t>
      </w:r>
      <w:bookmarkEnd w:id="84"/>
      <w:r>
        <w:rPr>
          <w:rFonts w:hint="eastAsia" w:ascii="宋体" w:hAnsi="宋体" w:eastAsia="宋体" w:cs="宋体"/>
          <w:b/>
          <w:color w:val="auto"/>
          <w:sz w:val="24"/>
          <w:highlight w:val="none"/>
        </w:rPr>
        <w:t>担保</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无。</w:t>
      </w:r>
    </w:p>
    <w:p>
      <w:pPr>
        <w:spacing w:line="440" w:lineRule="exact"/>
        <w:rPr>
          <w:rFonts w:ascii="宋体" w:hAnsi="宋体" w:eastAsia="宋体" w:cs="宋体"/>
          <w:color w:val="auto"/>
          <w:kern w:val="0"/>
          <w:sz w:val="24"/>
          <w:highlight w:val="none"/>
        </w:rPr>
      </w:pPr>
      <w:r>
        <w:rPr>
          <w:rFonts w:hint="eastAsia" w:ascii="宋体" w:hAnsi="宋体" w:eastAsia="宋体" w:cs="宋体"/>
          <w:b/>
          <w:color w:val="auto"/>
          <w:sz w:val="24"/>
          <w:highlight w:val="none"/>
        </w:rPr>
        <w:t>7.4 签订合同</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成交通知书发出之日起30日内，按照</w:t>
      </w:r>
      <w:r>
        <w:rPr>
          <w:rFonts w:hint="eastAsia" w:ascii="宋体" w:hAnsi="宋体" w:eastAsia="宋体" w:cs="宋体"/>
          <w:color w:val="auto"/>
          <w:sz w:val="24"/>
          <w:highlight w:val="none"/>
        </w:rPr>
        <w:t>磋商</w:t>
      </w:r>
      <w:r>
        <w:rPr>
          <w:rFonts w:hint="eastAsia" w:ascii="宋体" w:hAnsi="宋体" w:eastAsia="宋体" w:cs="宋体"/>
          <w:color w:val="auto"/>
          <w:kern w:val="0"/>
          <w:sz w:val="24"/>
          <w:highlight w:val="none"/>
        </w:rPr>
        <w:t>文件确定的事项签订合同</w:t>
      </w:r>
      <w:r>
        <w:rPr>
          <w:rFonts w:hint="eastAsia" w:ascii="宋体" w:hAnsi="宋体" w:eastAsia="宋体" w:cs="宋体"/>
          <w:color w:val="auto"/>
          <w:sz w:val="24"/>
          <w:highlight w:val="none"/>
        </w:rPr>
        <w:t>。磋商文件、成交供应商的响应文件以及磋商过程中的最终书面报价、有关澄清、承诺文件等均为合同的组成部分。</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 重新采购</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8.1 重新采购</w:t>
      </w:r>
    </w:p>
    <w:p>
      <w:pPr>
        <w:widowControl/>
        <w:spacing w:line="440" w:lineRule="exact"/>
        <w:ind w:firstLine="48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出现下列情形之一的，采购人或者采购代理机构应当终止竞争性磋商采购活动，发布项目终止公告并</w:t>
      </w:r>
      <w:r>
        <w:rPr>
          <w:rFonts w:hint="eastAsia" w:ascii="宋体" w:hAnsi="宋体" w:eastAsia="宋体" w:cs="宋体"/>
          <w:color w:val="auto"/>
          <w:kern w:val="0"/>
          <w:sz w:val="24"/>
          <w:highlight w:val="none"/>
        </w:rPr>
        <w:t>说明原因，重新开展采购活动：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）因情况变化，不再符合规定的竞争性磋商采购方式适用情形的；</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（二）出现影响采购公正的违法、违规行为的；</w:t>
      </w:r>
    </w:p>
    <w:p>
      <w:pPr>
        <w:spacing w:line="44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（三）除特殊</w:t>
      </w:r>
      <w:r>
        <w:rPr>
          <w:rFonts w:hint="eastAsia" w:ascii="宋体" w:hAnsi="宋体" w:eastAsia="宋体" w:cs="宋体"/>
          <w:color w:val="auto"/>
          <w:kern w:val="0"/>
          <w:sz w:val="24"/>
          <w:highlight w:val="none"/>
        </w:rPr>
        <w:t>情形外，在采购过程中符合要求的供应商或者报价未超过采购预算的供应商不足3家的。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纪律和监督</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9.1 对采购人的纪律要求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采购人不得泄漏采购报价活动中应当保密的情况和资料，不得与供应商串通损害国家利益、社会公共利益和他人合法权益。</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9.2 对供应商的纪律要求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供应商不得相互串通报价或者与采购人串通报价，不得向采购人或者磋商小组成员行贿谋取成交，不得以他人名义报价或者以其他方式弄虚作假骗取成交；供应商不得以任何方式干扰、影响磋商工作。</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9.3 对磋商小组成员的纪律要求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磋商小组成员不得收受他人的财物或者其他好处，不得向他人透漏对响应文件的评审和比较、成交供应商候选人的推荐情况以及与磋商有关的其他情况。在磋商活动中，磋商小组成员不得擅离职守，影响磋商程序正常进行，不得使用第三章“磋商办法”没有规定的评审因素和标准进行磋商。</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9.4 对与磋商活动有关的工作人员的纪律要求</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与磋商活动有关的工作人员不得收受他人的财物或者其他好处，不得向他人透漏对响应文件的评审和比较、成交供应商候选人的推荐情况以及与磋商有关的其他情况。在磋商活动中，与磋商活动有关的工作人员不得擅离职守，影响磋商程序正常进行</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解释权</w:t>
      </w:r>
    </w:p>
    <w:p>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本磋商文件的最终解释权归采购人，当对一个问题有多种解释时以采购人的书面解释为准。磋商文件未做须知明示，采购人将依据相关法律、法规做出解释。</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11.需要补充的其他内容</w:t>
      </w:r>
    </w:p>
    <w:p>
      <w:pPr>
        <w:spacing w:line="440" w:lineRule="exact"/>
        <w:ind w:firstLine="480" w:firstLineChars="200"/>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见供应商须知前附表。</w:t>
      </w:r>
      <w:r>
        <w:rPr>
          <w:rFonts w:hint="eastAsia" w:ascii="宋体" w:hAnsi="宋体" w:eastAsia="宋体" w:cs="宋体"/>
          <w:b/>
          <w:color w:val="auto"/>
          <w:sz w:val="24"/>
          <w:highlight w:val="none"/>
        </w:rPr>
        <w:br w:type="page"/>
      </w:r>
      <w:bookmarkStart w:id="85" w:name="_Toc950"/>
      <w:bookmarkStart w:id="86" w:name="_Toc450115336"/>
    </w:p>
    <w:p>
      <w:pPr>
        <w:spacing w:line="440" w:lineRule="exact"/>
        <w:jc w:val="left"/>
        <w:rPr>
          <w:rFonts w:hint="eastAsia" w:ascii="宋体" w:hAnsi="宋体" w:eastAsia="宋体" w:cs="宋体"/>
          <w:b/>
          <w:color w:val="auto"/>
          <w:sz w:val="24"/>
          <w:highlight w:val="none"/>
        </w:rPr>
      </w:pPr>
    </w:p>
    <w:p>
      <w:pPr>
        <w:spacing w:line="440" w:lineRule="exact"/>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第三章</w:t>
      </w:r>
      <w:bookmarkEnd w:id="85"/>
      <w:r>
        <w:rPr>
          <w:rFonts w:hint="eastAsia" w:ascii="宋体" w:hAnsi="宋体" w:eastAsia="宋体" w:cs="宋体"/>
          <w:b/>
          <w:bCs/>
          <w:color w:val="auto"/>
          <w:sz w:val="44"/>
          <w:szCs w:val="44"/>
          <w:highlight w:val="none"/>
        </w:rPr>
        <w:t xml:space="preserve">  项目说明</w:t>
      </w:r>
      <w:bookmarkEnd w:id="86"/>
    </w:p>
    <w:p>
      <w:pPr>
        <w:rPr>
          <w:rFonts w:ascii="宋体" w:hAnsi="宋体" w:eastAsia="宋体" w:cs="宋体"/>
          <w:color w:val="auto"/>
          <w:highlight w:val="none"/>
        </w:rPr>
      </w:pPr>
      <w:bookmarkStart w:id="87" w:name="_Toc450115337"/>
      <w:bookmarkStart w:id="88" w:name="_Toc1151"/>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一、校区情况概述</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济宁医学院太白湖校区建筑面积约21万平方米，包括九个建筑单体：教学楼、图文信息楼、南北实验楼、南北公寓、南北食堂、观光连廊。在校学生、教职工、服务人员约1.2万人，属于人员密集型场所，为消防重点单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二、校区消防设施概述</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消防设施包括火灾自动报警系统、电气火灾监控系统、防火门监控系统、防排烟系统、防火门监控系统、防火卷帘联动系统、自动喷水灭火系统、室内外消火栓系统、气体灭火系统、应急照明及疏散指示系统。总控制室一个设置在北实验一楼，与校区监控室合并在一室，有专门的值班人员值班，且持证上岗。消防水池、地下泵房设置在图文信息楼北侧花园内，高位水箱设置在教学楼顶层。南北食堂、南北公寓已进行了消防验收，教学楼、图文信息楼、南北实验楼、观光连廊2017年进行了消防升级改造，整个校区消防设施正常运行。</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三、消防维保项目</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根据校区的建筑面积大、人员密集、点位太多的实际情况，秉承所有的消防设施在一年内应检查维修保养一遍的原则，拟定了以下维保方案：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火灾自动报警系统及消防联动：由火灾探测器、手动报警按钮、声光报警器、应急广播、消防专用电话、楼层显示装置、控制室图形显示装置、火灾报警控制器、消防联动控制器等组成。系统维护保养包括：1、火灾探测器报警信号显示功能正常，并分区域清洗或更换。2、每月分区域启动手动报警按钮或烟感进行小范围内消防联动，检查该区域内的声光报警器、应急广播、消防电话、楼层显示装置、防火门监控系统、防排烟系统、防火卷帘联动系统、应急照明和疏散系统等系统的联动情况每年进行一至两次的全校区联动，对损坏的设备报修维修或更换。</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自动喷水灭火系统：由管网、水流指示器、报警阀组、阀门、压力表、洒水喷头、喷淋泵及控制柜、稳压设备装置等组成。系统维护保养包括：1、阀门开关正常、阀门上油维护。2、管网内压力正常。3、管网一年一次放水清污。4、检查洒水喷头外观完好无破损无堵塞。5、系统检修。6、控制柜启动主备泵正常运行、远程启动泵、检查稳压设备正常运行，对损坏的设备报修维修或更换。</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室内外消火栓系统：由管网、室内外消火栓、压力表、阀门、消防泵及控制柜、稳压设备装置、水带、水枪、自救卷盘、灭火器等装置。维修保养包括：1、室内外消火栓栓头定期分区域检查阀门正常开关，室外消火栓栓头上黄油，对损坏的阀门、栓头报修。2、检查消火栓箱内设备配件齐全、功能具备。检查箱内的报警按钮功能正常、信号显示、反馈功能正常。对老化的水带、自救卷盘进行报修更换，对保质期到期的灭火器进行报修充气或更换。3、检查管网内压力正常，并每月进行末端放水压力检测实验。4、管网一年一次放水清污。5、系统检修。6、控制柜启动主备泵正常运行、远程启动泵、检查稳压设备正常运行，对损坏的设备报修维修或更换。</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防排烟系统：由防火阀、风机、正压送风口、风机控制盘等设备组成。系统维护保养包括：1、检查防火阀动作正常、关闭信号正常、活动部位上油保养。2、检查排烟风机、正压送风机手动/自动运行正常，风机控制盘运行正常，远程启动系统正常，每月分区进行检查远程启动、手动、自动情况，检查正压送风口风量，双电源切换情况。3、对楼顶风机损坏的软连接、风管、控制盘、防火阀报修进行维修或更换。</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五）气体灭火系统：由七氟丙烷气瓶、氮气气瓶、压力表、气体灭火装置、控制室监控器等组成。1、每月进行气体灭火系统检查，发现气瓶压力不足进行放气顶压，没有压力的气瓶报修充气或更换。2、每月对气体灭火装置进行检查，对不工作的装置进行检修，损坏的报修维修或更换。</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应急照明及疏散指示系统：由安全出口、疏散指示、应急照明等设备组成。分区定期检查安全出口、应急疏散指示、应急照明的工作显示情况，并进行强切电源检查工作情况，对故障、损坏的设备进行报修维修或更换。</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（七）防火卷帘联动系统：由防火卷帘、电机、手动降落按钮、远程降落等设备组成。检查防火卷帘两侧温感工作情况，手动降落情况，远程启动情况。</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（八）每月检查消防水池水位、浮球阀情况，高位水箱水位、稳压罐工作情况，试验栓压力情况，分区域检查防火门闭门器情况。</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四、维保计划</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维保区域划分：每月分区域进行维保检查，确保一年内对所有消防设备维护保养一遍。1、7月份假期期间进行全面联动实验。对发现故障或隐患情况及时汇报，分析问题提出解决方案。维保情况真实反映，写入维保记录。</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2、安排技术熟练且对现场熟悉的持证上岗人员负责贵单位的维护保养工作。</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3、维保人员与值班人员详细现场交底，能熟知当火灾报警出现时能做到一人在总控制室值班，一人能及时到达现场检查情况，分析火灾报警情况，做到及时有效的处理。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4、当发生影响或危及消防设施正常工作的故障时，维保人员接到通知保证2小时内到达现场，对系统进行有效的维修，并填写紧急维修工作报告并上交。</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五、所需设备清单</w:t>
      </w:r>
    </w:p>
    <w:p>
      <w:pPr>
        <w:spacing w:line="440" w:lineRule="exact"/>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以下设备为预估在合同履行期间，有可能更换的设备、耗材种类，</w:t>
      </w:r>
      <w:r>
        <w:rPr>
          <w:rFonts w:hint="eastAsia" w:ascii="宋体" w:hAnsi="宋体" w:eastAsia="宋体" w:cs="宋体"/>
          <w:b/>
          <w:bCs/>
          <w:color w:val="auto"/>
          <w:sz w:val="24"/>
          <w:highlight w:val="none"/>
          <w:lang w:eastAsia="zh-CN"/>
        </w:rPr>
        <w:t>但不仅限于以下设备，</w:t>
      </w:r>
      <w:r>
        <w:rPr>
          <w:rFonts w:hint="eastAsia" w:ascii="宋体" w:hAnsi="宋体" w:eastAsia="宋体" w:cs="宋体"/>
          <w:b/>
          <w:bCs/>
          <w:color w:val="auto"/>
          <w:sz w:val="24"/>
          <w:highlight w:val="none"/>
        </w:rPr>
        <w:t>合同履行期间</w:t>
      </w:r>
      <w:r>
        <w:rPr>
          <w:rFonts w:hint="eastAsia" w:ascii="宋体" w:hAnsi="宋体" w:eastAsia="宋体" w:cs="宋体"/>
          <w:b/>
          <w:bCs/>
          <w:color w:val="auto"/>
          <w:sz w:val="24"/>
          <w:highlight w:val="none"/>
          <w:lang w:eastAsia="zh-CN"/>
        </w:rPr>
        <w:t>以下设备、耗材如需更换，中标单位必须按采购人要求免费予以更换。</w:t>
      </w:r>
    </w:p>
    <w:p>
      <w:pPr>
        <w:pStyle w:val="2"/>
        <w:rPr>
          <w:rFonts w:hint="eastAsia"/>
          <w:b/>
          <w:bCs/>
          <w:color w:val="auto"/>
          <w:highlight w:val="none"/>
          <w:lang w:val="en-US" w:eastAsia="zh-CN"/>
        </w:rPr>
      </w:pPr>
      <w:r>
        <w:rPr>
          <w:rFonts w:hint="eastAsia"/>
          <w:b/>
          <w:bCs/>
          <w:color w:val="auto"/>
          <w:highlight w:val="none"/>
          <w:lang w:eastAsia="zh-CN"/>
        </w:rPr>
        <w:t>在合同履行期间，其他设备、耗材价格在</w:t>
      </w:r>
      <w:r>
        <w:rPr>
          <w:rFonts w:hint="eastAsia"/>
          <w:b/>
          <w:bCs/>
          <w:color w:val="auto"/>
          <w:highlight w:val="none"/>
          <w:lang w:val="en-US" w:eastAsia="zh-CN"/>
        </w:rPr>
        <w:t>100元以下的中标单位必须按采购人要求免费予以更换。</w:t>
      </w:r>
    </w:p>
    <w:p>
      <w:pPr>
        <w:pStyle w:val="2"/>
        <w:rPr>
          <w:rFonts w:hint="default"/>
          <w:b/>
          <w:bCs/>
          <w:color w:val="auto"/>
          <w:highlight w:val="none"/>
          <w:lang w:val="en-US" w:eastAsia="zh-CN"/>
        </w:rPr>
      </w:pPr>
      <w:r>
        <w:rPr>
          <w:rFonts w:hint="eastAsia"/>
          <w:b/>
          <w:bCs/>
          <w:color w:val="auto"/>
          <w:highlight w:val="none"/>
          <w:lang w:val="en-US" w:eastAsia="zh-CN"/>
        </w:rPr>
        <w:t>一年内累计免费更换设备、耗材在5000元以上的，超出部分由采购人相关主管部门验收合格后，执行采购人批价，据实结算。</w:t>
      </w:r>
    </w:p>
    <w:p>
      <w:pPr>
        <w:spacing w:line="440" w:lineRule="exact"/>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采购人不对以下物品的种类及数量作出任何采购承诺。</w:t>
      </w:r>
    </w:p>
    <w:tbl>
      <w:tblPr>
        <w:tblStyle w:val="20"/>
        <w:tblW w:w="9099"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543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spacing w:line="4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30" w:type="dxa"/>
            <w:vAlign w:val="center"/>
          </w:tcPr>
          <w:p>
            <w:pPr>
              <w:spacing w:line="4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名称规格</w:t>
            </w:r>
          </w:p>
        </w:tc>
        <w:tc>
          <w:tcPr>
            <w:tcW w:w="2150" w:type="dxa"/>
            <w:vAlign w:val="center"/>
          </w:tcPr>
          <w:p>
            <w:pPr>
              <w:spacing w:line="40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感烟探测器</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消火栓控制按钮</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控制模块</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消防广播扬声器</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电话插孔手动报警按钮</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风口机构</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消火栓头DN65</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声光报警器</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ZR-RVS2x1.5（阻燃）</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jc w:val="center"/>
              <w:rPr>
                <w:rFonts w:ascii="宋体" w:hAnsi="宋体" w:eastAsia="宋体" w:cs="宋体"/>
                <w:color w:val="auto"/>
                <w:sz w:val="24"/>
                <w:highlight w:val="none"/>
              </w:rPr>
            </w:pPr>
          </w:p>
        </w:tc>
        <w:tc>
          <w:tcPr>
            <w:tcW w:w="5430" w:type="dxa"/>
            <w:vAlign w:val="center"/>
          </w:tcPr>
          <w:p>
            <w:pPr>
              <w:rPr>
                <w:rFonts w:ascii="宋体" w:hAnsi="宋体" w:eastAsia="宋体" w:cs="宋体"/>
                <w:color w:val="auto"/>
                <w:sz w:val="24"/>
                <w:highlight w:val="none"/>
              </w:rPr>
            </w:pPr>
            <w:r>
              <w:rPr>
                <w:rFonts w:hint="eastAsia" w:ascii="宋体" w:hAnsi="宋体" w:eastAsia="宋体" w:cs="宋体"/>
                <w:color w:val="auto"/>
                <w:sz w:val="24"/>
                <w:highlight w:val="none"/>
              </w:rPr>
              <w:t>感温探测器</w:t>
            </w:r>
          </w:p>
        </w:tc>
        <w:tc>
          <w:tcPr>
            <w:tcW w:w="215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spacing w:line="500" w:lineRule="exact"/>
              <w:jc w:val="center"/>
              <w:rPr>
                <w:rFonts w:ascii="宋体" w:hAnsi="宋体" w:eastAsia="宋体" w:cs="宋体"/>
                <w:color w:val="auto"/>
                <w:sz w:val="24"/>
                <w:highlight w:val="none"/>
              </w:rPr>
            </w:pPr>
          </w:p>
        </w:tc>
        <w:tc>
          <w:tcPr>
            <w:tcW w:w="5430" w:type="dxa"/>
          </w:tcPr>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接触器 F</w:t>
            </w:r>
            <w:r>
              <w:rPr>
                <w:rFonts w:hint="eastAsia" w:ascii="宋体" w:hAnsi="宋体" w:eastAsia="宋体" w:cs="宋体"/>
                <w:color w:val="auto"/>
                <w:sz w:val="24"/>
                <w:highlight w:val="none"/>
                <w:vertAlign w:val="superscript"/>
              </w:rPr>
              <w:t>4</w:t>
            </w:r>
            <w:r>
              <w:rPr>
                <w:rFonts w:hint="eastAsia" w:ascii="宋体" w:hAnsi="宋体" w:eastAsia="宋体" w:cs="宋体"/>
                <w:color w:val="auto"/>
                <w:sz w:val="24"/>
                <w:highlight w:val="none"/>
              </w:rPr>
              <w:t xml:space="preserve">-22 </w:t>
            </w:r>
          </w:p>
        </w:tc>
        <w:tc>
          <w:tcPr>
            <w:tcW w:w="2150" w:type="dxa"/>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spacing w:line="500" w:lineRule="exact"/>
              <w:jc w:val="center"/>
              <w:rPr>
                <w:rFonts w:ascii="宋体" w:hAnsi="宋体" w:eastAsia="宋体" w:cs="宋体"/>
                <w:color w:val="auto"/>
                <w:sz w:val="24"/>
                <w:highlight w:val="none"/>
              </w:rPr>
            </w:pPr>
          </w:p>
        </w:tc>
        <w:tc>
          <w:tcPr>
            <w:tcW w:w="5430" w:type="dxa"/>
          </w:tcPr>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小型继电器</w:t>
            </w:r>
          </w:p>
        </w:tc>
        <w:tc>
          <w:tcPr>
            <w:tcW w:w="2150" w:type="dxa"/>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spacing w:line="500" w:lineRule="exact"/>
              <w:jc w:val="center"/>
              <w:rPr>
                <w:rFonts w:ascii="宋体" w:hAnsi="宋体" w:eastAsia="宋体" w:cs="宋体"/>
                <w:color w:val="auto"/>
                <w:sz w:val="24"/>
                <w:highlight w:val="none"/>
              </w:rPr>
            </w:pPr>
          </w:p>
        </w:tc>
        <w:tc>
          <w:tcPr>
            <w:tcW w:w="5430" w:type="dxa"/>
          </w:tcPr>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风机按钮</w:t>
            </w:r>
          </w:p>
        </w:tc>
        <w:tc>
          <w:tcPr>
            <w:tcW w:w="2150" w:type="dxa"/>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spacing w:line="500" w:lineRule="exact"/>
              <w:jc w:val="center"/>
              <w:rPr>
                <w:rFonts w:ascii="宋体" w:hAnsi="宋体" w:eastAsia="宋体" w:cs="宋体"/>
                <w:color w:val="auto"/>
                <w:sz w:val="24"/>
                <w:highlight w:val="none"/>
              </w:rPr>
            </w:pPr>
          </w:p>
        </w:tc>
        <w:tc>
          <w:tcPr>
            <w:tcW w:w="5430" w:type="dxa"/>
          </w:tcPr>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风机指示灯</w:t>
            </w:r>
          </w:p>
        </w:tc>
        <w:tc>
          <w:tcPr>
            <w:tcW w:w="2150" w:type="dxa"/>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spacing w:line="500" w:lineRule="exact"/>
              <w:jc w:val="center"/>
              <w:rPr>
                <w:rFonts w:ascii="宋体" w:hAnsi="宋体" w:eastAsia="宋体" w:cs="宋体"/>
                <w:color w:val="auto"/>
                <w:sz w:val="24"/>
                <w:highlight w:val="none"/>
              </w:rPr>
            </w:pPr>
          </w:p>
        </w:tc>
        <w:tc>
          <w:tcPr>
            <w:tcW w:w="5430" w:type="dxa"/>
          </w:tcPr>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NHRVS 2X1.5</w:t>
            </w:r>
          </w:p>
        </w:tc>
        <w:tc>
          <w:tcPr>
            <w:tcW w:w="2150" w:type="dxa"/>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19" w:type="dxa"/>
          </w:tcPr>
          <w:p>
            <w:pPr>
              <w:numPr>
                <w:ilvl w:val="0"/>
                <w:numId w:val="2"/>
              </w:numPr>
              <w:spacing w:line="500" w:lineRule="exact"/>
              <w:jc w:val="center"/>
              <w:rPr>
                <w:rFonts w:ascii="宋体" w:hAnsi="宋体" w:eastAsia="宋体" w:cs="宋体"/>
                <w:color w:val="auto"/>
                <w:sz w:val="24"/>
                <w:highlight w:val="none"/>
              </w:rPr>
            </w:pPr>
          </w:p>
        </w:tc>
        <w:tc>
          <w:tcPr>
            <w:tcW w:w="5430" w:type="dxa"/>
          </w:tcPr>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说明标识贴</w:t>
            </w:r>
          </w:p>
        </w:tc>
        <w:tc>
          <w:tcPr>
            <w:tcW w:w="2150" w:type="dxa"/>
          </w:tcPr>
          <w:p>
            <w:pPr>
              <w:spacing w:line="5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套</w:t>
            </w:r>
          </w:p>
        </w:tc>
      </w:tr>
    </w:tbl>
    <w:p>
      <w:pPr>
        <w:spacing w:line="440" w:lineRule="exact"/>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2"/>
        <w:ind w:left="0" w:leftChars="0" w:firstLine="0" w:firstLineChars="0"/>
        <w:rPr>
          <w:rFonts w:ascii="宋体" w:hAnsi="宋体" w:eastAsia="宋体" w:cs="宋体"/>
          <w:color w:val="auto"/>
          <w:sz w:val="24"/>
          <w:highlight w:val="none"/>
        </w:rPr>
      </w:pPr>
    </w:p>
    <w:p>
      <w:pPr>
        <w:pStyle w:val="2"/>
        <w:rPr>
          <w:rFonts w:ascii="宋体" w:hAnsi="宋体" w:eastAsia="宋体" w:cs="宋体"/>
          <w:color w:val="auto"/>
          <w:sz w:val="24"/>
          <w:highlight w:val="none"/>
        </w:rPr>
      </w:pPr>
    </w:p>
    <w:p>
      <w:pPr>
        <w:pStyle w:val="3"/>
        <w:keepNext w:val="0"/>
        <w:keepLines w:val="0"/>
        <w:topLinePunct/>
        <w:spacing w:before="0" w:after="0" w:line="240" w:lineRule="auto"/>
        <w:rPr>
          <w:rFonts w:ascii="宋体" w:hAnsi="宋体" w:eastAsia="宋体" w:cs="宋体"/>
          <w:color w:val="auto"/>
          <w:sz w:val="36"/>
          <w:highlight w:val="none"/>
        </w:rPr>
      </w:pPr>
      <w:r>
        <w:rPr>
          <w:rFonts w:hint="eastAsia" w:ascii="宋体" w:hAnsi="宋体" w:eastAsia="宋体" w:cs="宋体"/>
          <w:color w:val="auto"/>
          <w:highlight w:val="none"/>
        </w:rPr>
        <w:t>第四章 合同格式</w:t>
      </w:r>
      <w:bookmarkEnd w:id="87"/>
      <w:bookmarkEnd w:id="88"/>
      <w:bookmarkStart w:id="89" w:name="_Toc3126"/>
      <w:bookmarkStart w:id="90" w:name="_Toc419099961"/>
      <w:bookmarkStart w:id="91" w:name="_Toc421524511"/>
    </w:p>
    <w:p>
      <w:pPr>
        <w:spacing w:line="360" w:lineRule="auto"/>
        <w:rPr>
          <w:rFonts w:ascii="宋体" w:hAnsi="宋体" w:eastAsia="宋体" w:cs="宋体"/>
          <w:b/>
          <w:bCs/>
          <w:color w:val="auto"/>
          <w:sz w:val="24"/>
          <w:highlight w:val="none"/>
        </w:rPr>
      </w:pPr>
    </w:p>
    <w:p>
      <w:pPr>
        <w:spacing w:line="360" w:lineRule="auto"/>
        <w:jc w:val="center"/>
        <w:rPr>
          <w:rFonts w:ascii="宋体" w:hAnsi="宋体" w:eastAsia="宋体" w:cs="宋体"/>
          <w:b/>
          <w:bCs/>
          <w:color w:val="auto"/>
          <w:sz w:val="36"/>
          <w:highlight w:val="none"/>
        </w:rPr>
      </w:pPr>
      <w:r>
        <w:rPr>
          <w:rFonts w:hint="eastAsia" w:ascii="宋体" w:hAnsi="宋体" w:eastAsia="宋体" w:cs="宋体"/>
          <w:b/>
          <w:bCs/>
          <w:color w:val="auto"/>
          <w:sz w:val="36"/>
          <w:highlight w:val="none"/>
        </w:rPr>
        <w:t>（采用济宁医学院制式合同）</w:t>
      </w: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ind w:left="707" w:leftChars="337"/>
        <w:jc w:val="center"/>
        <w:rPr>
          <w:rFonts w:ascii="宋体" w:hAnsi="宋体" w:eastAsia="宋体" w:cs="宋体"/>
          <w:b/>
          <w:bCs/>
          <w:color w:val="auto"/>
          <w:sz w:val="36"/>
          <w:highlight w:val="none"/>
        </w:rPr>
      </w:pPr>
    </w:p>
    <w:p>
      <w:pPr>
        <w:spacing w:line="360" w:lineRule="auto"/>
        <w:rPr>
          <w:rFonts w:ascii="宋体" w:hAnsi="宋体" w:eastAsia="宋体" w:cs="宋体"/>
          <w:b/>
          <w:bCs/>
          <w:color w:val="auto"/>
          <w:sz w:val="36"/>
          <w:highlight w:val="none"/>
        </w:rPr>
      </w:pPr>
    </w:p>
    <w:p>
      <w:pPr>
        <w:pStyle w:val="2"/>
        <w:rPr>
          <w:rFonts w:eastAsia="宋体"/>
          <w:color w:val="auto"/>
          <w:highlight w:val="none"/>
        </w:rPr>
      </w:pPr>
    </w:p>
    <w:p>
      <w:pPr>
        <w:pStyle w:val="3"/>
        <w:rPr>
          <w:rFonts w:ascii="宋体" w:hAnsi="宋体" w:eastAsia="宋体" w:cs="宋体"/>
          <w:bCs w:val="0"/>
          <w:color w:val="auto"/>
          <w:highlight w:val="none"/>
        </w:rPr>
      </w:pPr>
      <w:bookmarkStart w:id="92" w:name="_Toc450115353"/>
    </w:p>
    <w:p>
      <w:pPr>
        <w:pStyle w:val="3"/>
        <w:rPr>
          <w:rFonts w:ascii="宋体" w:hAnsi="宋体" w:eastAsia="宋体" w:cs="宋体"/>
          <w:color w:val="auto"/>
          <w:highlight w:val="none"/>
        </w:rPr>
      </w:pPr>
      <w:r>
        <w:rPr>
          <w:rFonts w:hint="eastAsia" w:ascii="宋体" w:hAnsi="宋体" w:eastAsia="宋体" w:cs="宋体"/>
          <w:bCs w:val="0"/>
          <w:color w:val="auto"/>
          <w:highlight w:val="none"/>
        </w:rPr>
        <w:t>第五章  响应文件格式</w:t>
      </w:r>
      <w:bookmarkEnd w:id="89"/>
      <w:bookmarkEnd w:id="90"/>
      <w:bookmarkEnd w:id="91"/>
      <w:bookmarkEnd w:id="92"/>
    </w:p>
    <w:p>
      <w:pPr>
        <w:rPr>
          <w:rFonts w:ascii="宋体" w:hAnsi="宋体" w:eastAsia="宋体" w:cs="宋体"/>
          <w:color w:val="auto"/>
          <w:szCs w:val="21"/>
          <w:highlight w:val="none"/>
        </w:rPr>
      </w:pPr>
    </w:p>
    <w:p>
      <w:pPr>
        <w:autoSpaceDE w:val="0"/>
        <w:autoSpaceDN w:val="0"/>
        <w:adjustRightInd w:val="0"/>
        <w:ind w:firstLine="6160" w:firstLineChars="1400"/>
        <w:jc w:val="left"/>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bdr w:val="single" w:color="auto" w:sz="4" w:space="0"/>
        </w:rPr>
        <w:t>正本/副本</w:t>
      </w:r>
    </w:p>
    <w:p>
      <w:pPr>
        <w:rPr>
          <w:rFonts w:ascii="宋体" w:hAnsi="宋体" w:eastAsia="宋体" w:cs="宋体"/>
          <w:color w:val="auto"/>
          <w:szCs w:val="21"/>
          <w:highlight w:val="none"/>
        </w:rPr>
      </w:pPr>
    </w:p>
    <w:p>
      <w:pPr>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spacing w:before="156" w:beforeLines="50" w:after="156" w:afterLines="50" w:line="700" w:lineRule="exact"/>
        <w:jc w:val="center"/>
        <w:rPr>
          <w:rFonts w:ascii="宋体" w:hAnsi="宋体" w:eastAsia="宋体" w:cs="宋体"/>
          <w:b/>
          <w:color w:val="auto"/>
          <w:sz w:val="60"/>
          <w:highlight w:val="none"/>
        </w:rPr>
      </w:pPr>
      <w:r>
        <w:rPr>
          <w:rFonts w:hint="eastAsia" w:ascii="宋体" w:hAnsi="宋体" w:eastAsia="宋体" w:cs="宋体"/>
          <w:b/>
          <w:color w:val="auto"/>
          <w:sz w:val="60"/>
          <w:highlight w:val="none"/>
        </w:rPr>
        <w:t>响应文件</w:t>
      </w:r>
    </w:p>
    <w:p>
      <w:pPr>
        <w:rPr>
          <w:rFonts w:ascii="宋体" w:hAnsi="宋体" w:eastAsia="宋体" w:cs="宋体"/>
          <w:b/>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ind w:firstLine="1820" w:firstLineChars="65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供应商：（盖单位公章）</w:t>
      </w: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法定代表人或其委托代理人：（签字或盖章）</w:t>
      </w: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pStyle w:val="6"/>
        <w:spacing w:before="0" w:line="360" w:lineRule="auto"/>
        <w:rPr>
          <w:rFonts w:ascii="宋体" w:hAnsi="宋体" w:eastAsia="宋体" w:cs="宋体"/>
          <w:bCs/>
          <w:color w:val="auto"/>
          <w:szCs w:val="24"/>
          <w:highlight w:val="none"/>
        </w:rPr>
      </w:pPr>
    </w:p>
    <w:p>
      <w:pPr>
        <w:rPr>
          <w:color w:val="auto"/>
          <w:highlight w:val="none"/>
        </w:rPr>
      </w:pPr>
    </w:p>
    <w:p>
      <w:pPr>
        <w:pStyle w:val="8"/>
        <w:spacing w:after="156" w:afterLines="50" w:line="400" w:lineRule="exact"/>
        <w:rPr>
          <w:rFonts w:eastAsia="宋体" w:cs="宋体"/>
          <w:b/>
          <w:bCs/>
          <w:color w:val="auto"/>
          <w:sz w:val="32"/>
          <w:szCs w:val="32"/>
          <w:highlight w:val="none"/>
        </w:rPr>
      </w:pPr>
      <w:bookmarkStart w:id="93" w:name="_Toc391283521"/>
      <w:bookmarkStart w:id="94" w:name="_Toc424063692"/>
      <w:bookmarkStart w:id="95" w:name="_Toc378257820"/>
      <w:bookmarkStart w:id="96" w:name="_Toc443898938"/>
      <w:r>
        <w:rPr>
          <w:rFonts w:hint="eastAsia" w:eastAsia="宋体" w:cs="宋体"/>
          <w:b/>
          <w:bCs/>
          <w:color w:val="auto"/>
          <w:sz w:val="32"/>
          <w:szCs w:val="32"/>
          <w:highlight w:val="none"/>
        </w:rPr>
        <w:t>附件一:</w:t>
      </w:r>
    </w:p>
    <w:p>
      <w:pPr>
        <w:pStyle w:val="8"/>
        <w:spacing w:after="156" w:afterLines="50" w:line="400" w:lineRule="exact"/>
        <w:jc w:val="center"/>
        <w:rPr>
          <w:rFonts w:eastAsia="宋体" w:cs="宋体"/>
          <w:b/>
          <w:bCs/>
          <w:color w:val="auto"/>
          <w:sz w:val="32"/>
          <w:szCs w:val="32"/>
          <w:highlight w:val="none"/>
        </w:rPr>
      </w:pPr>
      <w:r>
        <w:rPr>
          <w:rFonts w:hint="eastAsia" w:eastAsia="宋体" w:cs="宋体"/>
          <w:b/>
          <w:bCs/>
          <w:color w:val="auto"/>
          <w:sz w:val="32"/>
          <w:szCs w:val="32"/>
          <w:highlight w:val="none"/>
        </w:rPr>
        <w:t>报价函</w:t>
      </w:r>
    </w:p>
    <w:p>
      <w:pPr>
        <w:widowControl/>
        <w:jc w:val="left"/>
        <w:rPr>
          <w:rFonts w:ascii="宋体" w:hAnsi="宋体" w:eastAsia="宋体" w:cs="宋体"/>
          <w:b/>
          <w:bCs/>
          <w:color w:val="auto"/>
          <w:sz w:val="24"/>
          <w:highlight w:val="none"/>
        </w:rPr>
      </w:pPr>
    </w:p>
    <w:p>
      <w:pPr>
        <w:widowControl/>
        <w:jc w:val="left"/>
        <w:rPr>
          <w:rFonts w:ascii="宋体" w:hAnsi="宋体" w:eastAsia="宋体" w:cs="宋体"/>
          <w:bCs/>
          <w:color w:val="auto"/>
          <w:sz w:val="24"/>
          <w:highlight w:val="none"/>
        </w:rPr>
      </w:pPr>
      <w:r>
        <w:rPr>
          <w:rFonts w:hint="eastAsia" w:ascii="宋体" w:hAnsi="宋体" w:eastAsia="宋体" w:cs="宋体"/>
          <w:bCs/>
          <w:color w:val="auto"/>
          <w:sz w:val="24"/>
          <w:highlight w:val="none"/>
          <w:u w:val="single"/>
        </w:rPr>
        <w:t xml:space="preserve">                 （采购单位名称）</w:t>
      </w:r>
      <w:r>
        <w:rPr>
          <w:rFonts w:hint="eastAsia" w:ascii="宋体" w:hAnsi="宋体" w:eastAsia="宋体" w:cs="宋体"/>
          <w:bCs/>
          <w:color w:val="auto"/>
          <w:sz w:val="24"/>
          <w:highlight w:val="none"/>
        </w:rPr>
        <w:t>：</w:t>
      </w:r>
    </w:p>
    <w:p>
      <w:pPr>
        <w:widowControl/>
        <w:jc w:val="left"/>
        <w:rPr>
          <w:rFonts w:ascii="宋体" w:hAnsi="宋体" w:eastAsia="宋体" w:cs="宋体"/>
          <w:bCs/>
          <w:color w:val="auto"/>
          <w:sz w:val="24"/>
          <w:highlight w:val="none"/>
        </w:rPr>
      </w:pPr>
    </w:p>
    <w:p>
      <w:pPr>
        <w:widowControl/>
        <w:spacing w:line="440" w:lineRule="exact"/>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我方已经认真审阅了已经认真审阅了此次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项目（项目编号：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）的磋商文件，并对其没有任何保留意见，经研究决定参加本项目投标并提交响应文件。为此，我方承诺如下：</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报价：大写：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维保期：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我方郑重声明以下诸点，并负法律责任。</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1、我们提交的响应文件，正本一份，副本四份。正本具有法律效力。当副本与正本不一致时，以正本为准。</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2、我们对响应文件中所提供的各种技术标准、设备的相关参数和所有证书、文件、经营业绩、合同、财务报表以及售后服务机构的真实性承担完全的责任。如有虚假，我们愿意承担一切后果。</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3、如果我们的响应文件被接受，我们将认真履行采购文件中规定的每一项要求，并按我们在响应文件和谈判中的承诺，按期、保质完成项目。</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4、我们理解，最低报价不是成交的唯一条件。</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5、我们愿按《中华人民共和国合同法》履行自己的全部责任。</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6、我们的响应文件自提交之日起有效期为</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天。</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7、我们若未能成为成交供应商，你们有不做解释的权利。</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供应商（盖章）：</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法人代表或委托代理人（签字或盖章）：</w:t>
      </w:r>
    </w:p>
    <w:p>
      <w:pPr>
        <w:widowControl/>
        <w:jc w:val="right"/>
        <w:rPr>
          <w:rFonts w:ascii="宋体" w:hAnsi="宋体" w:eastAsia="宋体" w:cs="宋体"/>
          <w:color w:val="auto"/>
          <w:sz w:val="24"/>
          <w:highlight w:val="none"/>
        </w:rPr>
      </w:pPr>
    </w:p>
    <w:p>
      <w:pPr>
        <w:widowControl/>
        <w:jc w:val="right"/>
        <w:rPr>
          <w:rFonts w:ascii="宋体" w:hAnsi="宋体" w:eastAsia="宋体" w:cs="宋体"/>
          <w:b/>
          <w:bCs/>
          <w:color w:val="auto"/>
          <w:sz w:val="24"/>
          <w:highlight w:val="none"/>
        </w:rPr>
      </w:pPr>
      <w:r>
        <w:rPr>
          <w:rFonts w:hint="eastAsia" w:ascii="宋体" w:hAnsi="宋体" w:eastAsia="宋体" w:cs="宋体"/>
          <w:color w:val="auto"/>
          <w:sz w:val="24"/>
          <w:highlight w:val="none"/>
        </w:rPr>
        <w:t>日期：   年   月   日</w:t>
      </w:r>
    </w:p>
    <w:p>
      <w:pPr>
        <w:autoSpaceDE w:val="0"/>
        <w:autoSpaceDN w:val="0"/>
        <w:ind w:firstLine="422"/>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jc w:val="left"/>
        <w:rPr>
          <w:rFonts w:ascii="宋体" w:hAnsi="宋体" w:eastAsia="宋体" w:cs="宋体"/>
          <w:b/>
          <w:bCs/>
          <w:color w:val="auto"/>
          <w:sz w:val="32"/>
          <w:szCs w:val="32"/>
          <w:highlight w:val="none"/>
        </w:rPr>
      </w:pPr>
      <w:bookmarkStart w:id="97" w:name="_Toc363048761"/>
      <w:bookmarkStart w:id="98" w:name="_Toc372119281"/>
      <w:r>
        <w:rPr>
          <w:rFonts w:hint="eastAsia" w:ascii="宋体" w:hAnsi="宋体" w:eastAsia="宋体" w:cs="宋体"/>
          <w:b/>
          <w:bCs/>
          <w:color w:val="auto"/>
          <w:sz w:val="32"/>
          <w:szCs w:val="32"/>
          <w:highlight w:val="none"/>
        </w:rPr>
        <w:t>附件二：</w:t>
      </w:r>
    </w:p>
    <w:p>
      <w:pPr>
        <w:widowControl/>
        <w:jc w:val="center"/>
        <w:rPr>
          <w:rFonts w:ascii="宋体" w:hAnsi="宋体" w:eastAsia="宋体" w:cs="宋体"/>
          <w:b/>
          <w:bCs/>
          <w:color w:val="auto"/>
          <w:sz w:val="24"/>
          <w:highlight w:val="none"/>
        </w:rPr>
      </w:pPr>
      <w:r>
        <w:rPr>
          <w:rFonts w:hint="eastAsia" w:ascii="宋体" w:hAnsi="宋体" w:eastAsia="宋体" w:cs="宋体"/>
          <w:b/>
          <w:bCs/>
          <w:color w:val="auto"/>
          <w:sz w:val="32"/>
          <w:szCs w:val="32"/>
          <w:highlight w:val="none"/>
        </w:rPr>
        <w:t>法定代表人授权委托书</w:t>
      </w:r>
      <w:bookmarkEnd w:id="97"/>
      <w:bookmarkEnd w:id="98"/>
    </w:p>
    <w:p>
      <w:pPr>
        <w:widowControl/>
        <w:jc w:val="left"/>
        <w:rPr>
          <w:rFonts w:ascii="宋体" w:hAnsi="宋体" w:eastAsia="宋体" w:cs="宋体"/>
          <w:b/>
          <w:bCs/>
          <w:color w:val="auto"/>
          <w:sz w:val="24"/>
          <w:highlight w:val="none"/>
        </w:rPr>
      </w:pPr>
    </w:p>
    <w:p>
      <w:pPr>
        <w:widowControl/>
        <w:jc w:val="left"/>
        <w:rPr>
          <w:rFonts w:ascii="宋体" w:hAnsi="宋体" w:eastAsia="宋体" w:cs="宋体"/>
          <w:bCs/>
          <w:color w:val="auto"/>
          <w:sz w:val="24"/>
          <w:highlight w:val="none"/>
        </w:rPr>
      </w:pPr>
      <w:r>
        <w:rPr>
          <w:rFonts w:hint="eastAsia" w:ascii="宋体" w:hAnsi="宋体" w:eastAsia="宋体" w:cs="宋体"/>
          <w:bCs/>
          <w:color w:val="auto"/>
          <w:sz w:val="24"/>
          <w:highlight w:val="none"/>
          <w:u w:val="single"/>
        </w:rPr>
        <w:t xml:space="preserve">                 （采购单位名称）</w:t>
      </w:r>
      <w:r>
        <w:rPr>
          <w:rFonts w:hint="eastAsia" w:ascii="宋体" w:hAnsi="宋体" w:eastAsia="宋体" w:cs="宋体"/>
          <w:bCs/>
          <w:color w:val="auto"/>
          <w:sz w:val="24"/>
          <w:highlight w:val="none"/>
        </w:rPr>
        <w:t>：</w:t>
      </w:r>
    </w:p>
    <w:p>
      <w:pPr>
        <w:widowControl/>
        <w:jc w:val="left"/>
        <w:rPr>
          <w:rFonts w:ascii="宋体" w:hAnsi="宋体" w:eastAsia="宋体" w:cs="宋体"/>
          <w:bCs/>
          <w:color w:val="auto"/>
          <w:sz w:val="24"/>
          <w:highlight w:val="none"/>
        </w:rPr>
      </w:pPr>
    </w:p>
    <w:p>
      <w:pPr>
        <w:widowControl/>
        <w:spacing w:line="360" w:lineRule="auto"/>
        <w:ind w:firstLine="480" w:firstLineChars="200"/>
        <w:jc w:val="left"/>
        <w:rPr>
          <w:rFonts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（供应商名称）法定代表人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授权我公司</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（职务或职称）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（姓名）为我单位本次投标委托代理人，全权处理此次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项目（项目编号：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）磋商活动的一切事宜。</w:t>
      </w:r>
    </w:p>
    <w:p>
      <w:pPr>
        <w:widowControl/>
        <w:ind w:firstLine="480" w:firstLineChars="200"/>
        <w:jc w:val="left"/>
        <w:rPr>
          <w:rFonts w:ascii="宋体" w:hAnsi="宋体" w:eastAsia="宋体" w:cs="宋体"/>
          <w:bCs/>
          <w:color w:val="auto"/>
          <w:sz w:val="24"/>
          <w:highlight w:val="none"/>
        </w:rPr>
      </w:pPr>
    </w:p>
    <w:p>
      <w:pPr>
        <w:widowControl/>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特此授权。</w:t>
      </w:r>
    </w:p>
    <w:p>
      <w:pPr>
        <w:widowControl/>
        <w:jc w:val="left"/>
        <w:rPr>
          <w:rFonts w:ascii="宋体" w:hAnsi="宋体" w:eastAsia="宋体" w:cs="宋体"/>
          <w:bCs/>
          <w:color w:val="auto"/>
          <w:sz w:val="24"/>
          <w:highlight w:val="none"/>
        </w:rPr>
      </w:pPr>
    </w:p>
    <w:tbl>
      <w:tblPr>
        <w:tblStyle w:val="20"/>
        <w:tblW w:w="94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42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bCs/>
                <w:color w:val="auto"/>
                <w:sz w:val="24"/>
                <w:highlight w:val="none"/>
              </w:rPr>
            </w:pPr>
          </w:p>
          <w:p>
            <w:pPr>
              <w:widowControl/>
              <w:jc w:val="left"/>
              <w:rPr>
                <w:rFonts w:ascii="宋体" w:hAnsi="宋体" w:eastAsia="宋体" w:cs="宋体"/>
                <w:bCs/>
                <w:color w:val="auto"/>
                <w:sz w:val="24"/>
                <w:highlight w:val="none"/>
              </w:rPr>
            </w:pPr>
          </w:p>
          <w:p>
            <w:pPr>
              <w:widowControl/>
              <w:jc w:val="center"/>
              <w:rPr>
                <w:rFonts w:ascii="宋体" w:hAnsi="宋体" w:eastAsia="宋体" w:cs="宋体"/>
                <w:bCs/>
                <w:color w:val="auto"/>
                <w:sz w:val="24"/>
                <w:highlight w:val="none"/>
              </w:rPr>
            </w:pPr>
          </w:p>
          <w:p>
            <w:pPr>
              <w:widowControl/>
              <w:jc w:val="center"/>
              <w:rPr>
                <w:rFonts w:ascii="宋体" w:hAnsi="宋体" w:eastAsia="宋体" w:cs="宋体"/>
                <w:bCs/>
                <w:color w:val="auto"/>
                <w:sz w:val="24"/>
                <w:highlight w:val="none"/>
              </w:rPr>
            </w:pPr>
          </w:p>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（附委托代理人身份证明复印件）</w:t>
            </w:r>
          </w:p>
          <w:p>
            <w:pPr>
              <w:widowControl/>
              <w:jc w:val="left"/>
              <w:rPr>
                <w:rFonts w:ascii="宋体" w:hAnsi="宋体" w:eastAsia="宋体" w:cs="宋体"/>
                <w:bCs/>
                <w:color w:val="auto"/>
                <w:sz w:val="24"/>
                <w:highlight w:val="none"/>
              </w:rPr>
            </w:pPr>
          </w:p>
          <w:p>
            <w:pPr>
              <w:widowControl/>
              <w:jc w:val="left"/>
              <w:rPr>
                <w:rFonts w:ascii="宋体" w:hAnsi="宋体" w:eastAsia="宋体" w:cs="宋体"/>
                <w:bCs/>
                <w:color w:val="auto"/>
                <w:sz w:val="24"/>
                <w:highlight w:val="none"/>
              </w:rPr>
            </w:pPr>
          </w:p>
          <w:p>
            <w:pPr>
              <w:widowControl/>
              <w:jc w:val="left"/>
              <w:rPr>
                <w:rFonts w:ascii="宋体" w:hAnsi="宋体" w:eastAsia="宋体" w:cs="宋体"/>
                <w:bCs/>
                <w:color w:val="auto"/>
                <w:sz w:val="24"/>
                <w:highlight w:val="none"/>
              </w:rPr>
            </w:pPr>
          </w:p>
        </w:tc>
      </w:tr>
    </w:tbl>
    <w:p>
      <w:pPr>
        <w:widowControl/>
        <w:jc w:val="left"/>
        <w:rPr>
          <w:rFonts w:ascii="宋体" w:hAnsi="宋体" w:eastAsia="宋体" w:cs="宋体"/>
          <w:bCs/>
          <w:color w:val="auto"/>
          <w:sz w:val="24"/>
          <w:highlight w:val="none"/>
        </w:rPr>
      </w:pPr>
    </w:p>
    <w:p>
      <w:pPr>
        <w:widowControl/>
        <w:spacing w:line="360" w:lineRule="auto"/>
        <w:ind w:firstLine="240" w:firstLineChars="1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供应商单位名称（公章）：</w:t>
      </w:r>
      <w:r>
        <w:rPr>
          <w:rFonts w:hint="eastAsia" w:ascii="宋体" w:hAnsi="宋体" w:eastAsia="宋体" w:cs="宋体"/>
          <w:bCs/>
          <w:color w:val="auto"/>
          <w:sz w:val="24"/>
          <w:highlight w:val="none"/>
          <w:u w:val="single"/>
        </w:rPr>
        <w:t xml:space="preserve">                   </w:t>
      </w:r>
    </w:p>
    <w:p>
      <w:pPr>
        <w:widowControl/>
        <w:spacing w:line="360" w:lineRule="auto"/>
        <w:ind w:firstLine="240" w:firstLineChars="1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法定代表人（签字或盖章）：</w:t>
      </w:r>
      <w:r>
        <w:rPr>
          <w:rFonts w:hint="eastAsia" w:ascii="宋体" w:hAnsi="宋体" w:eastAsia="宋体" w:cs="宋体"/>
          <w:bCs/>
          <w:color w:val="auto"/>
          <w:sz w:val="24"/>
          <w:highlight w:val="none"/>
          <w:u w:val="single"/>
        </w:rPr>
        <w:t xml:space="preserve">                 </w:t>
      </w:r>
    </w:p>
    <w:p>
      <w:pPr>
        <w:widowControl/>
        <w:spacing w:line="360" w:lineRule="auto"/>
        <w:ind w:firstLine="240" w:firstLineChars="100"/>
        <w:jc w:val="left"/>
        <w:rPr>
          <w:rFonts w:ascii="宋体" w:hAnsi="宋体" w:eastAsia="宋体" w:cs="宋体"/>
          <w:b/>
          <w:bCs/>
          <w:color w:val="auto"/>
          <w:sz w:val="24"/>
          <w:highlight w:val="none"/>
        </w:rPr>
      </w:pPr>
      <w:r>
        <w:rPr>
          <w:rFonts w:hint="eastAsia" w:ascii="宋体" w:hAnsi="宋体" w:eastAsia="宋体" w:cs="宋体"/>
          <w:bCs/>
          <w:color w:val="auto"/>
          <w:sz w:val="24"/>
          <w:highlight w:val="none"/>
        </w:rPr>
        <w:t>委托代理人（签字）：</w:t>
      </w:r>
      <w:r>
        <w:rPr>
          <w:rFonts w:hint="eastAsia" w:ascii="宋体" w:hAnsi="宋体" w:eastAsia="宋体" w:cs="宋体"/>
          <w:bCs/>
          <w:color w:val="auto"/>
          <w:sz w:val="24"/>
          <w:highlight w:val="none"/>
          <w:u w:val="single"/>
        </w:rPr>
        <w:t xml:space="preserve">                         </w:t>
      </w:r>
    </w:p>
    <w:p>
      <w:pPr>
        <w:widowControl/>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年    月    日</w:t>
      </w:r>
    </w:p>
    <w:p>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24"/>
          <w:highlight w:val="none"/>
        </w:rPr>
        <w:br w:type="page"/>
      </w:r>
      <w:bookmarkStart w:id="99" w:name="_Toc372119282"/>
      <w:bookmarkStart w:id="100" w:name="_Toc363048762"/>
      <w:r>
        <w:rPr>
          <w:rFonts w:hint="eastAsia" w:ascii="宋体" w:hAnsi="宋体" w:eastAsia="宋体" w:cs="宋体"/>
          <w:b/>
          <w:bCs/>
          <w:color w:val="auto"/>
          <w:sz w:val="32"/>
          <w:szCs w:val="32"/>
          <w:highlight w:val="none"/>
        </w:rPr>
        <w:t>附件三:</w:t>
      </w:r>
    </w:p>
    <w:p>
      <w:pPr>
        <w:widowControl/>
        <w:jc w:val="center"/>
        <w:rPr>
          <w:rFonts w:ascii="宋体" w:hAnsi="宋体" w:eastAsia="宋体" w:cs="宋体"/>
          <w:b/>
          <w:bCs/>
          <w:color w:val="auto"/>
          <w:sz w:val="24"/>
          <w:highlight w:val="none"/>
        </w:rPr>
      </w:pPr>
      <w:r>
        <w:rPr>
          <w:rFonts w:hint="eastAsia" w:ascii="宋体" w:hAnsi="宋体" w:eastAsia="宋体" w:cs="宋体"/>
          <w:b/>
          <w:bCs/>
          <w:color w:val="auto"/>
          <w:sz w:val="32"/>
          <w:szCs w:val="32"/>
          <w:highlight w:val="none"/>
        </w:rPr>
        <w:t>报价一览表</w:t>
      </w:r>
      <w:bookmarkEnd w:id="99"/>
      <w:bookmarkEnd w:id="100"/>
    </w:p>
    <w:p>
      <w:pPr>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（章）</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报价单位：人民币元</w:t>
      </w:r>
    </w:p>
    <w:tbl>
      <w:tblPr>
        <w:tblStyle w:val="20"/>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54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75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维保费报价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1440" w:firstLineChars="6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期</w:t>
            </w:r>
          </w:p>
        </w:tc>
        <w:tc>
          <w:tcPr>
            <w:tcW w:w="75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优惠条件及服务承诺</w:t>
            </w:r>
          </w:p>
        </w:tc>
        <w:tc>
          <w:tcPr>
            <w:tcW w:w="754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对磋商的文件的响应程度</w:t>
            </w:r>
          </w:p>
        </w:tc>
        <w:tc>
          <w:tcPr>
            <w:tcW w:w="754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54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p>
        </w:tc>
      </w:tr>
    </w:tbl>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特别说明：</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1、此表装订在响应文件的首页。</w:t>
      </w:r>
    </w:p>
    <w:p>
      <w:pPr>
        <w:spacing w:line="40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8"/>
        <w:spacing w:line="460" w:lineRule="exact"/>
        <w:jc w:val="left"/>
        <w:outlineLvl w:val="0"/>
        <w:rPr>
          <w:rFonts w:hint="eastAsia" w:eastAsia="宋体" w:cs="宋体"/>
          <w:b/>
          <w:bCs/>
          <w:color w:val="auto"/>
          <w:sz w:val="32"/>
          <w:szCs w:val="32"/>
          <w:highlight w:val="none"/>
        </w:rPr>
      </w:pPr>
      <w:r>
        <w:rPr>
          <w:rFonts w:hint="eastAsia" w:eastAsia="宋体" w:cs="宋体"/>
          <w:b/>
          <w:bCs/>
          <w:color w:val="auto"/>
          <w:sz w:val="24"/>
          <w:highlight w:val="none"/>
        </w:rPr>
        <w:br w:type="page"/>
      </w:r>
      <w:bookmarkStart w:id="101" w:name="_Toc378257808"/>
      <w:bookmarkStart w:id="102" w:name="_Toc360718085"/>
      <w:r>
        <w:rPr>
          <w:rFonts w:hint="eastAsia" w:eastAsia="宋体" w:cs="宋体"/>
          <w:b/>
          <w:bCs/>
          <w:color w:val="auto"/>
          <w:sz w:val="32"/>
          <w:szCs w:val="32"/>
          <w:highlight w:val="none"/>
        </w:rPr>
        <w:t>附件四:</w:t>
      </w:r>
      <w:bookmarkEnd w:id="101"/>
      <w:bookmarkEnd w:id="102"/>
    </w:p>
    <w:p>
      <w:pPr>
        <w:pStyle w:val="8"/>
        <w:spacing w:after="156" w:afterLines="50" w:line="400" w:lineRule="exact"/>
        <w:jc w:val="center"/>
        <w:rPr>
          <w:rFonts w:eastAsia="宋体" w:cs="宋体"/>
          <w:color w:val="auto"/>
          <w:highlight w:val="none"/>
          <w:shd w:val="clear" w:color="auto" w:fill="FFFFFF"/>
        </w:rPr>
      </w:pPr>
      <w:r>
        <w:rPr>
          <w:rFonts w:hint="eastAsia" w:eastAsia="宋体" w:cs="宋体"/>
          <w:b/>
          <w:bCs/>
          <w:color w:val="auto"/>
          <w:sz w:val="32"/>
          <w:szCs w:val="32"/>
          <w:highlight w:val="none"/>
        </w:rPr>
        <w:t>报 价 明 细 表</w:t>
      </w:r>
    </w:p>
    <w:tbl>
      <w:tblPr>
        <w:tblStyle w:val="20"/>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202"/>
        <w:gridCol w:w="2221"/>
        <w:gridCol w:w="1331"/>
        <w:gridCol w:w="1298"/>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1183" w:type="dxa"/>
            <w:vAlign w:val="center"/>
          </w:tcPr>
          <w:p>
            <w:pPr>
              <w:tabs>
                <w:tab w:val="left" w:pos="1337"/>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02" w:type="dxa"/>
            <w:vAlign w:val="center"/>
          </w:tcPr>
          <w:p>
            <w:pPr>
              <w:tabs>
                <w:tab w:val="left" w:pos="1337"/>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221" w:type="dxa"/>
            <w:vAlign w:val="center"/>
          </w:tcPr>
          <w:p>
            <w:pPr>
              <w:tabs>
                <w:tab w:val="left" w:pos="1337"/>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1331" w:type="dxa"/>
            <w:vAlign w:val="center"/>
          </w:tcPr>
          <w:p>
            <w:pPr>
              <w:tabs>
                <w:tab w:val="left" w:pos="1337"/>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298" w:type="dxa"/>
            <w:vAlign w:val="center"/>
          </w:tcPr>
          <w:p>
            <w:pPr>
              <w:tabs>
                <w:tab w:val="left" w:pos="1337"/>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685" w:type="dxa"/>
            <w:vAlign w:val="center"/>
          </w:tcPr>
          <w:p>
            <w:pPr>
              <w:tabs>
                <w:tab w:val="left" w:pos="1337"/>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83" w:type="dxa"/>
            <w:vAlign w:val="center"/>
          </w:tcPr>
          <w:p>
            <w:pPr>
              <w:tabs>
                <w:tab w:val="left" w:pos="1337"/>
              </w:tabs>
              <w:ind w:firstLine="480" w:firstLineChars="200"/>
              <w:jc w:val="center"/>
              <w:rPr>
                <w:rFonts w:ascii="宋体" w:hAnsi="宋体" w:eastAsia="宋体" w:cs="宋体"/>
                <w:color w:val="auto"/>
                <w:sz w:val="24"/>
                <w:highlight w:val="none"/>
              </w:rPr>
            </w:pPr>
          </w:p>
        </w:tc>
        <w:tc>
          <w:tcPr>
            <w:tcW w:w="2202" w:type="dxa"/>
            <w:vAlign w:val="center"/>
          </w:tcPr>
          <w:p>
            <w:pPr>
              <w:tabs>
                <w:tab w:val="left" w:pos="1337"/>
              </w:tabs>
              <w:jc w:val="center"/>
              <w:rPr>
                <w:rFonts w:ascii="宋体" w:hAnsi="宋体" w:eastAsia="宋体" w:cs="宋体"/>
                <w:color w:val="auto"/>
                <w:sz w:val="24"/>
                <w:highlight w:val="none"/>
              </w:rPr>
            </w:pPr>
          </w:p>
        </w:tc>
        <w:tc>
          <w:tcPr>
            <w:tcW w:w="2221" w:type="dxa"/>
            <w:vAlign w:val="center"/>
          </w:tcPr>
          <w:p>
            <w:pPr>
              <w:tabs>
                <w:tab w:val="left" w:pos="1337"/>
              </w:tabs>
              <w:ind w:firstLine="480" w:firstLineChars="200"/>
              <w:jc w:val="center"/>
              <w:rPr>
                <w:rFonts w:ascii="宋体" w:hAnsi="宋体" w:eastAsia="宋体" w:cs="宋体"/>
                <w:color w:val="auto"/>
                <w:sz w:val="24"/>
                <w:highlight w:val="none"/>
              </w:rPr>
            </w:pPr>
          </w:p>
        </w:tc>
        <w:tc>
          <w:tcPr>
            <w:tcW w:w="1331" w:type="dxa"/>
            <w:vAlign w:val="center"/>
          </w:tcPr>
          <w:p>
            <w:pPr>
              <w:tabs>
                <w:tab w:val="left" w:pos="1337"/>
              </w:tabs>
              <w:ind w:firstLine="480" w:firstLineChars="200"/>
              <w:jc w:val="center"/>
              <w:rPr>
                <w:rFonts w:ascii="宋体" w:hAnsi="宋体" w:eastAsia="宋体" w:cs="宋体"/>
                <w:color w:val="auto"/>
                <w:sz w:val="24"/>
                <w:highlight w:val="none"/>
              </w:rPr>
            </w:pPr>
          </w:p>
        </w:tc>
        <w:tc>
          <w:tcPr>
            <w:tcW w:w="1298" w:type="dxa"/>
            <w:vAlign w:val="center"/>
          </w:tcPr>
          <w:p>
            <w:pPr>
              <w:tabs>
                <w:tab w:val="left" w:pos="1337"/>
              </w:tabs>
              <w:ind w:firstLine="480" w:firstLineChars="200"/>
              <w:jc w:val="center"/>
              <w:rPr>
                <w:rFonts w:ascii="宋体" w:hAnsi="宋体" w:eastAsia="宋体" w:cs="宋体"/>
                <w:color w:val="auto"/>
                <w:sz w:val="24"/>
                <w:highlight w:val="none"/>
              </w:rPr>
            </w:pPr>
          </w:p>
        </w:tc>
        <w:tc>
          <w:tcPr>
            <w:tcW w:w="1685" w:type="dxa"/>
            <w:vAlign w:val="center"/>
          </w:tcPr>
          <w:p>
            <w:pPr>
              <w:tabs>
                <w:tab w:val="left" w:pos="1337"/>
              </w:tabs>
              <w:ind w:firstLine="480" w:firstLineChars="20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3385" w:type="dxa"/>
            <w:gridSpan w:val="2"/>
            <w:vMerge w:val="restart"/>
            <w:vAlign w:val="center"/>
          </w:tcPr>
          <w:p>
            <w:pPr>
              <w:tabs>
                <w:tab w:val="left" w:pos="1337"/>
              </w:tabs>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6535" w:type="dxa"/>
            <w:gridSpan w:val="4"/>
            <w:vAlign w:val="center"/>
          </w:tcPr>
          <w:p>
            <w:pPr>
              <w:tabs>
                <w:tab w:val="left" w:pos="1337"/>
              </w:tabs>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3385" w:type="dxa"/>
            <w:gridSpan w:val="2"/>
            <w:vMerge w:val="continue"/>
            <w:vAlign w:val="center"/>
          </w:tcPr>
          <w:p>
            <w:pPr>
              <w:widowControl/>
              <w:jc w:val="left"/>
              <w:rPr>
                <w:rFonts w:ascii="宋体" w:hAnsi="宋体" w:eastAsia="宋体" w:cs="宋体"/>
                <w:color w:val="auto"/>
                <w:sz w:val="24"/>
                <w:highlight w:val="none"/>
              </w:rPr>
            </w:pPr>
          </w:p>
        </w:tc>
        <w:tc>
          <w:tcPr>
            <w:tcW w:w="6535" w:type="dxa"/>
            <w:gridSpan w:val="4"/>
            <w:vAlign w:val="center"/>
          </w:tcPr>
          <w:p>
            <w:pPr>
              <w:tabs>
                <w:tab w:val="left" w:pos="1337"/>
              </w:tabs>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大写：</w:t>
            </w:r>
          </w:p>
        </w:tc>
      </w:tr>
    </w:tbl>
    <w:p>
      <w:pPr>
        <w:spacing w:before="312" w:beforeLines="100" w:line="440" w:lineRule="exact"/>
        <w:outlineLvl w:val="1"/>
        <w:rPr>
          <w:rFonts w:ascii="宋体" w:hAnsi="宋体" w:eastAsia="宋体" w:cs="宋体"/>
          <w:b/>
          <w:color w:val="auto"/>
          <w:sz w:val="28"/>
          <w:szCs w:val="28"/>
          <w:highlight w:val="none"/>
        </w:rPr>
      </w:pPr>
    </w:p>
    <w:p>
      <w:pPr>
        <w:adjustRightInd w:val="0"/>
        <w:snapToGrid w:val="0"/>
        <w:spacing w:before="156" w:beforeLines="50" w:line="680" w:lineRule="atLeast"/>
        <w:ind w:firstLine="3840" w:firstLineChars="1600"/>
        <w:rPr>
          <w:rFonts w:ascii="宋体" w:hAnsi="宋体" w:eastAsia="宋体" w:cs="宋体"/>
          <w:color w:val="auto"/>
          <w:sz w:val="24"/>
          <w:highlight w:val="none"/>
        </w:rPr>
      </w:pPr>
      <w:r>
        <w:rPr>
          <w:rFonts w:hint="eastAsia" w:ascii="宋体" w:hAnsi="宋体" w:eastAsia="宋体" w:cs="宋体"/>
          <w:color w:val="auto"/>
          <w:sz w:val="24"/>
          <w:highlight w:val="none"/>
        </w:rPr>
        <w:t>供应商：       （盖章）</w:t>
      </w:r>
    </w:p>
    <w:p>
      <w:pPr>
        <w:adjustRightInd w:val="0"/>
        <w:snapToGrid w:val="0"/>
        <w:spacing w:line="640" w:lineRule="atLeast"/>
        <w:ind w:left="459" w:leftChars="219" w:firstLine="3360" w:firstLineChars="1400"/>
        <w:rPr>
          <w:rFonts w:ascii="宋体" w:hAnsi="宋体" w:eastAsia="宋体" w:cs="宋体"/>
          <w:color w:val="auto"/>
          <w:sz w:val="24"/>
          <w:highlight w:val="none"/>
        </w:rPr>
      </w:pPr>
      <w:r>
        <w:rPr>
          <w:rFonts w:hint="eastAsia" w:ascii="宋体" w:hAnsi="宋体" w:eastAsia="宋体" w:cs="宋体"/>
          <w:color w:val="auto"/>
          <w:sz w:val="24"/>
          <w:highlight w:val="none"/>
        </w:rPr>
        <w:t>法定代表人或委托代理人：        （签字或盖章）</w:t>
      </w:r>
    </w:p>
    <w:p>
      <w:pPr>
        <w:adjustRightInd w:val="0"/>
        <w:snapToGrid w:val="0"/>
        <w:spacing w:line="640" w:lineRule="atLeast"/>
        <w:ind w:left="459" w:leftChars="219" w:firstLine="3360" w:firstLineChars="1400"/>
        <w:rPr>
          <w:rFonts w:ascii="宋体" w:hAnsi="宋体" w:eastAsia="宋体" w:cs="宋体"/>
          <w:b/>
          <w:color w:val="auto"/>
          <w:sz w:val="28"/>
          <w:szCs w:val="28"/>
          <w:highlight w:val="none"/>
        </w:rPr>
      </w:pPr>
      <w:r>
        <w:rPr>
          <w:rFonts w:hint="eastAsia" w:ascii="宋体" w:hAnsi="宋体" w:eastAsia="宋体" w:cs="宋体"/>
          <w:color w:val="auto"/>
          <w:sz w:val="24"/>
          <w:highlight w:val="none"/>
        </w:rPr>
        <w:t xml:space="preserve">日期：     年    月    日 </w:t>
      </w:r>
    </w:p>
    <w:p>
      <w:pPr>
        <w:spacing w:line="360" w:lineRule="auto"/>
        <w:rPr>
          <w:rFonts w:ascii="宋体" w:hAnsi="宋体" w:eastAsia="宋体" w:cs="宋体"/>
          <w:color w:val="auto"/>
          <w:szCs w:val="21"/>
          <w:highlight w:val="none"/>
        </w:rPr>
        <w:sectPr>
          <w:footerReference r:id="rId3" w:type="default"/>
          <w:pgSz w:w="11906" w:h="16838"/>
          <w:pgMar w:top="1438" w:right="1134" w:bottom="1340" w:left="1134" w:header="851" w:footer="992" w:gutter="0"/>
          <w:pgNumType w:start="1"/>
          <w:cols w:space="720" w:num="1"/>
          <w:docGrid w:type="linesAndChars" w:linePitch="312" w:charSpace="0"/>
        </w:sectPr>
      </w:pPr>
    </w:p>
    <w:bookmarkEnd w:id="93"/>
    <w:bookmarkEnd w:id="94"/>
    <w:bookmarkEnd w:id="95"/>
    <w:bookmarkEnd w:id="96"/>
    <w:p>
      <w:pPr>
        <w:ind w:right="528"/>
        <w:rPr>
          <w:rFonts w:hint="eastAsia" w:ascii="宋体" w:hAnsi="宋体" w:eastAsia="宋体" w:cs="宋体"/>
          <w:b/>
          <w:color w:val="auto"/>
          <w:spacing w:val="-8"/>
          <w:sz w:val="36"/>
          <w:szCs w:val="36"/>
          <w:highlight w:val="none"/>
        </w:rPr>
      </w:pPr>
      <w:bookmarkStart w:id="103" w:name="_Toc388883679"/>
      <w:bookmarkStart w:id="104" w:name="_Toc450115354"/>
      <w:bookmarkStart w:id="105" w:name="_Toc421524513"/>
      <w:bookmarkStart w:id="106" w:name="_Toc25705"/>
    </w:p>
    <w:p>
      <w:pPr>
        <w:ind w:right="528"/>
        <w:rPr>
          <w:rFonts w:ascii="宋体" w:hAnsi="宋体" w:eastAsia="宋体" w:cs="宋体"/>
          <w:b/>
          <w:color w:val="auto"/>
          <w:spacing w:val="-8"/>
          <w:sz w:val="36"/>
          <w:szCs w:val="36"/>
          <w:highlight w:val="none"/>
        </w:rPr>
      </w:pPr>
      <w:r>
        <w:rPr>
          <w:rFonts w:hint="eastAsia" w:ascii="宋体" w:hAnsi="宋体" w:eastAsia="宋体" w:cs="宋体"/>
          <w:b/>
          <w:color w:val="auto"/>
          <w:spacing w:val="-8"/>
          <w:sz w:val="36"/>
          <w:szCs w:val="36"/>
          <w:highlight w:val="none"/>
        </w:rPr>
        <w:t>附件</w:t>
      </w:r>
      <w:r>
        <w:rPr>
          <w:rFonts w:hint="eastAsia" w:ascii="宋体" w:hAnsi="宋体" w:eastAsia="宋体" w:cs="宋体"/>
          <w:b/>
          <w:color w:val="auto"/>
          <w:spacing w:val="-8"/>
          <w:sz w:val="36"/>
          <w:szCs w:val="36"/>
          <w:highlight w:val="none"/>
          <w:lang w:eastAsia="zh-CN"/>
        </w:rPr>
        <w:t>五</w:t>
      </w:r>
      <w:r>
        <w:rPr>
          <w:rFonts w:hint="eastAsia" w:ascii="宋体" w:hAnsi="宋体" w:eastAsia="宋体" w:cs="宋体"/>
          <w:b/>
          <w:color w:val="auto"/>
          <w:spacing w:val="-8"/>
          <w:sz w:val="36"/>
          <w:szCs w:val="36"/>
          <w:highlight w:val="none"/>
        </w:rPr>
        <w:t>：</w:t>
      </w:r>
    </w:p>
    <w:p>
      <w:pPr>
        <w:pStyle w:val="8"/>
        <w:spacing w:after="145" w:afterLines="50" w:line="400" w:lineRule="exact"/>
        <w:jc w:val="center"/>
        <w:rPr>
          <w:rFonts w:eastAsia="宋体" w:cs="宋体"/>
          <w:b/>
          <w:bCs/>
          <w:color w:val="auto"/>
          <w:sz w:val="32"/>
          <w:szCs w:val="32"/>
          <w:highlight w:val="none"/>
        </w:rPr>
      </w:pPr>
      <w:r>
        <w:rPr>
          <w:rFonts w:hint="eastAsia" w:eastAsia="宋体" w:cs="宋体"/>
          <w:b/>
          <w:bCs/>
          <w:color w:val="auto"/>
          <w:sz w:val="32"/>
          <w:szCs w:val="32"/>
          <w:highlight w:val="none"/>
        </w:rPr>
        <w:t>技术规格偏离表</w:t>
      </w:r>
    </w:p>
    <w:p>
      <w:pPr>
        <w:pStyle w:val="30"/>
        <w:widowControl/>
        <w:spacing w:before="0"/>
        <w:ind w:firstLine="482" w:firstLineChars="200"/>
        <w:rPr>
          <w:rFonts w:ascii="宋体" w:hAnsi="宋体" w:cs="宋体"/>
          <w:b/>
          <w:color w:val="auto"/>
          <w:szCs w:val="24"/>
          <w:highlight w:val="none"/>
        </w:rPr>
      </w:pP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供应商名称（盖章）：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eastAsia="宋体" w:cs="宋体"/>
          <w:color w:val="auto"/>
          <w:sz w:val="24"/>
          <w:highlight w:val="none"/>
        </w:rPr>
      </w:pPr>
    </w:p>
    <w:p>
      <w:pPr>
        <w:tabs>
          <w:tab w:val="left" w:pos="0"/>
          <w:tab w:val="left" w:pos="720"/>
          <w:tab w:val="left" w:pos="1440"/>
          <w:tab w:val="left" w:pos="2160"/>
          <w:tab w:val="left" w:pos="2880"/>
          <w:tab w:val="left" w:pos="3390"/>
          <w:tab w:val="left" w:pos="432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法定代表人或授权代理人签字：</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Spec="center" w:tblpY="224"/>
        <w:tblOverlap w:val="never"/>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16"/>
        <w:gridCol w:w="850"/>
        <w:gridCol w:w="2580"/>
        <w:gridCol w:w="224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316"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rPr>
                <w:rFonts w:ascii="宋体" w:hAnsi="宋体" w:eastAsia="宋体" w:cs="宋体"/>
                <w:color w:val="auto"/>
                <w:highlight w:val="none"/>
              </w:rPr>
            </w:pPr>
            <w:r>
              <w:rPr>
                <w:rFonts w:hint="eastAsia" w:ascii="宋体" w:hAnsi="宋体" w:eastAsia="宋体" w:cs="宋体"/>
                <w:color w:val="auto"/>
                <w:highlight w:val="none"/>
              </w:rPr>
              <w:t>货物名称</w:t>
            </w:r>
          </w:p>
        </w:tc>
        <w:tc>
          <w:tcPr>
            <w:tcW w:w="85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rPr>
                <w:rFonts w:ascii="宋体" w:hAnsi="宋体" w:eastAsia="宋体" w:cs="宋体"/>
                <w:color w:val="auto"/>
                <w:highlight w:val="none"/>
              </w:rPr>
            </w:pPr>
            <w:r>
              <w:rPr>
                <w:rFonts w:hint="eastAsia" w:ascii="宋体" w:hAnsi="宋体" w:eastAsia="宋体" w:cs="宋体"/>
                <w:color w:val="auto"/>
                <w:highlight w:val="none"/>
              </w:rPr>
              <w:t>数量</w:t>
            </w:r>
          </w:p>
        </w:tc>
        <w:tc>
          <w:tcPr>
            <w:tcW w:w="258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rPr>
                <w:rFonts w:ascii="宋体" w:hAnsi="宋体" w:eastAsia="宋体" w:cs="宋体"/>
                <w:color w:val="auto"/>
                <w:highlight w:val="none"/>
              </w:rPr>
            </w:pPr>
            <w:r>
              <w:rPr>
                <w:rFonts w:hint="eastAsia" w:ascii="宋体" w:hAnsi="宋体" w:eastAsia="宋体" w:cs="宋体"/>
                <w:color w:val="auto"/>
                <w:highlight w:val="none"/>
              </w:rPr>
              <w:t>磋商文件技术规范要求</w:t>
            </w:r>
          </w:p>
        </w:tc>
        <w:tc>
          <w:tcPr>
            <w:tcW w:w="2247"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rPr>
                <w:rFonts w:ascii="宋体" w:hAnsi="宋体" w:eastAsia="宋体" w:cs="宋体"/>
                <w:color w:val="auto"/>
                <w:highlight w:val="none"/>
              </w:rPr>
            </w:pPr>
            <w:r>
              <w:rPr>
                <w:rFonts w:hint="eastAsia" w:ascii="宋体" w:hAnsi="宋体" w:eastAsia="宋体" w:cs="宋体"/>
                <w:color w:val="auto"/>
                <w:highlight w:val="none"/>
              </w:rPr>
              <w:t>响应文件对应规范</w:t>
            </w:r>
          </w:p>
        </w:tc>
        <w:tc>
          <w:tcPr>
            <w:tcW w:w="1297"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120" w:firstLineChars="50"/>
              <w:rPr>
                <w:rFonts w:ascii="宋体" w:hAnsi="宋体" w:eastAsia="宋体" w:cs="宋体"/>
                <w:color w:val="auto"/>
                <w:highlight w:val="none"/>
              </w:rPr>
            </w:pPr>
            <w:r>
              <w:rPr>
                <w:rFonts w:hint="eastAsia" w:ascii="宋体" w:hAnsi="宋体" w:eastAsia="宋体" w:cs="宋体"/>
                <w:color w:val="auto"/>
                <w:highlight w:val="none"/>
              </w:rPr>
              <w:t>偏离原因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pStyle w:val="15"/>
              <w:widowControl/>
              <w:tabs>
                <w:tab w:val="left" w:pos="180"/>
              </w:tabs>
              <w:spacing w:line="400" w:lineRule="exact"/>
              <w:ind w:firstLine="480" w:firstLineChars="200"/>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宋体" w:hAnsi="宋体" w:eastAsia="宋体" w:cs="宋体"/>
                <w:color w:val="auto"/>
                <w:sz w:val="24"/>
                <w:highlight w:val="none"/>
              </w:rPr>
            </w:pPr>
          </w:p>
        </w:tc>
      </w:tr>
    </w:tbl>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说明：</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（1）供应商所报货物如果与磋商文件的要求存在偏差，则填写上表。</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（2）除本表所列的偏离指标外，其他所有技术参数均应完全响应采购文件中的要求。</w:t>
      </w: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pPr>
        <w:autoSpaceDE w:val="0"/>
        <w:autoSpaceDN w:val="0"/>
        <w:ind w:firstLine="422"/>
        <w:jc w:val="center"/>
        <w:rPr>
          <w:rFonts w:ascii="宋体" w:hAnsi="宋体" w:eastAsia="宋体" w:cs="宋体"/>
          <w:b/>
          <w:color w:val="auto"/>
          <w:sz w:val="28"/>
          <w:highlight w:val="none"/>
          <w:lang w:val="zh-CN"/>
        </w:rPr>
      </w:pPr>
      <w:r>
        <w:rPr>
          <w:rFonts w:hint="eastAsia" w:ascii="宋体" w:hAnsi="宋体" w:eastAsia="宋体" w:cs="宋体"/>
          <w:color w:val="auto"/>
          <w:sz w:val="28"/>
          <w:highlight w:val="none"/>
        </w:rPr>
        <w:br w:type="page"/>
      </w:r>
    </w:p>
    <w:p>
      <w:pPr>
        <w:jc w:val="left"/>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r>
        <w:rPr>
          <w:rFonts w:hint="eastAsia" w:ascii="宋体" w:hAnsi="宋体" w:eastAsia="宋体" w:cs="宋体"/>
          <w:b/>
          <w:color w:val="auto"/>
          <w:sz w:val="32"/>
          <w:szCs w:val="32"/>
          <w:highlight w:val="none"/>
          <w:lang w:eastAsia="zh-CN"/>
        </w:rPr>
        <w:t>六</w:t>
      </w:r>
      <w:r>
        <w:rPr>
          <w:rFonts w:hint="eastAsia" w:ascii="宋体" w:hAnsi="宋体" w:eastAsia="宋体" w:cs="宋体"/>
          <w:b/>
          <w:color w:val="auto"/>
          <w:sz w:val="32"/>
          <w:szCs w:val="32"/>
          <w:highlight w:val="none"/>
        </w:rPr>
        <w:t>：</w:t>
      </w:r>
    </w:p>
    <w:p>
      <w:pPr>
        <w:spacing w:line="500" w:lineRule="exact"/>
        <w:jc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项目班子配备表</w:t>
      </w:r>
    </w:p>
    <w:tbl>
      <w:tblPr>
        <w:tblStyle w:val="20"/>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6"/>
        <w:gridCol w:w="1134"/>
        <w:gridCol w:w="900"/>
        <w:gridCol w:w="1385"/>
        <w:gridCol w:w="1385"/>
        <w:gridCol w:w="769"/>
        <w:gridCol w:w="89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7"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类别</w:t>
            </w:r>
          </w:p>
        </w:tc>
        <w:tc>
          <w:tcPr>
            <w:tcW w:w="896"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职务</w:t>
            </w:r>
          </w:p>
        </w:tc>
        <w:tc>
          <w:tcPr>
            <w:tcW w:w="1134"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姓名</w:t>
            </w:r>
          </w:p>
        </w:tc>
        <w:tc>
          <w:tcPr>
            <w:tcW w:w="900"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职称</w:t>
            </w:r>
          </w:p>
        </w:tc>
        <w:tc>
          <w:tcPr>
            <w:tcW w:w="1385"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常住地址</w:t>
            </w:r>
          </w:p>
        </w:tc>
        <w:tc>
          <w:tcPr>
            <w:tcW w:w="3948" w:type="dxa"/>
            <w:gridSpan w:val="4"/>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1134"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900"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1385"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证书名称</w:t>
            </w:r>
          </w:p>
        </w:tc>
        <w:tc>
          <w:tcPr>
            <w:tcW w:w="769" w:type="dxa"/>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级别</w:t>
            </w:r>
          </w:p>
        </w:tc>
        <w:tc>
          <w:tcPr>
            <w:tcW w:w="897" w:type="dxa"/>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证号</w:t>
            </w:r>
          </w:p>
        </w:tc>
        <w:tc>
          <w:tcPr>
            <w:tcW w:w="897" w:type="dxa"/>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97"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管理</w:t>
            </w:r>
          </w:p>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人员</w:t>
            </w: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7"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技术</w:t>
            </w:r>
          </w:p>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人员</w:t>
            </w: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97" w:type="dxa"/>
            <w:vMerge w:val="restart"/>
            <w:vAlign w:val="center"/>
          </w:tcPr>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服务</w:t>
            </w:r>
          </w:p>
          <w:p>
            <w:pPr>
              <w:spacing w:line="480" w:lineRule="exact"/>
              <w:ind w:left="5"/>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人员</w:t>
            </w: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97" w:type="dxa"/>
            <w:vMerge w:val="continue"/>
            <w:vAlign w:val="center"/>
          </w:tcPr>
          <w:p>
            <w:pPr>
              <w:spacing w:line="480" w:lineRule="exact"/>
              <w:ind w:left="5"/>
              <w:jc w:val="center"/>
              <w:rPr>
                <w:rFonts w:ascii="宋体" w:hAnsi="宋体" w:eastAsia="宋体" w:cs="宋体"/>
                <w:color w:val="auto"/>
                <w:sz w:val="24"/>
                <w:szCs w:val="28"/>
                <w:highlight w:val="none"/>
              </w:rPr>
            </w:pPr>
          </w:p>
        </w:tc>
        <w:tc>
          <w:tcPr>
            <w:tcW w:w="896" w:type="dxa"/>
            <w:vAlign w:val="center"/>
          </w:tcPr>
          <w:p>
            <w:pPr>
              <w:spacing w:line="480" w:lineRule="exact"/>
              <w:ind w:left="5"/>
              <w:jc w:val="center"/>
              <w:rPr>
                <w:rFonts w:ascii="宋体" w:hAnsi="宋体" w:eastAsia="宋体" w:cs="宋体"/>
                <w:color w:val="auto"/>
                <w:sz w:val="24"/>
                <w:szCs w:val="28"/>
                <w:highlight w:val="none"/>
              </w:rPr>
            </w:pPr>
          </w:p>
        </w:tc>
        <w:tc>
          <w:tcPr>
            <w:tcW w:w="1134" w:type="dxa"/>
            <w:vAlign w:val="center"/>
          </w:tcPr>
          <w:p>
            <w:pPr>
              <w:spacing w:line="480" w:lineRule="exact"/>
              <w:ind w:left="5"/>
              <w:jc w:val="center"/>
              <w:rPr>
                <w:rFonts w:ascii="宋体" w:hAnsi="宋体" w:eastAsia="宋体" w:cs="宋体"/>
                <w:color w:val="auto"/>
                <w:sz w:val="24"/>
                <w:szCs w:val="28"/>
                <w:highlight w:val="none"/>
              </w:rPr>
            </w:pPr>
          </w:p>
        </w:tc>
        <w:tc>
          <w:tcPr>
            <w:tcW w:w="900"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1385" w:type="dxa"/>
            <w:vAlign w:val="center"/>
          </w:tcPr>
          <w:p>
            <w:pPr>
              <w:spacing w:line="480" w:lineRule="exact"/>
              <w:ind w:left="5"/>
              <w:jc w:val="center"/>
              <w:rPr>
                <w:rFonts w:ascii="宋体" w:hAnsi="宋体" w:eastAsia="宋体" w:cs="宋体"/>
                <w:color w:val="auto"/>
                <w:sz w:val="24"/>
                <w:szCs w:val="28"/>
                <w:highlight w:val="none"/>
              </w:rPr>
            </w:pPr>
          </w:p>
        </w:tc>
        <w:tc>
          <w:tcPr>
            <w:tcW w:w="769"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c>
          <w:tcPr>
            <w:tcW w:w="897" w:type="dxa"/>
            <w:vAlign w:val="center"/>
          </w:tcPr>
          <w:p>
            <w:pPr>
              <w:spacing w:line="480" w:lineRule="exact"/>
              <w:ind w:left="5"/>
              <w:jc w:val="center"/>
              <w:rPr>
                <w:rFonts w:ascii="宋体" w:hAnsi="宋体" w:eastAsia="宋体" w:cs="宋体"/>
                <w:color w:val="auto"/>
                <w:sz w:val="24"/>
                <w:szCs w:val="28"/>
                <w:highlight w:val="none"/>
              </w:rPr>
            </w:pPr>
          </w:p>
        </w:tc>
      </w:tr>
    </w:tbl>
    <w:p>
      <w:pPr>
        <w:spacing w:line="500" w:lineRule="exact"/>
        <w:ind w:left="420"/>
        <w:rPr>
          <w:rFonts w:ascii="宋体" w:hAnsi="宋体" w:eastAsia="宋体" w:cs="宋体"/>
          <w:color w:val="auto"/>
          <w:sz w:val="24"/>
          <w:highlight w:val="none"/>
        </w:rPr>
      </w:pPr>
    </w:p>
    <w:p>
      <w:pPr>
        <w:ind w:firstLine="480" w:firstLineChars="200"/>
        <w:jc w:val="left"/>
        <w:outlineLvl w:val="0"/>
        <w:rPr>
          <w:rFonts w:ascii="宋体" w:hAnsi="宋体" w:eastAsia="宋体" w:cs="宋体"/>
          <w:bCs/>
          <w:color w:val="auto"/>
          <w:sz w:val="24"/>
          <w:highlight w:val="none"/>
        </w:rPr>
      </w:pPr>
      <w:r>
        <w:rPr>
          <w:rFonts w:hint="eastAsia" w:ascii="宋体" w:hAnsi="宋体" w:eastAsia="宋体" w:cs="宋体"/>
          <w:bCs/>
          <w:color w:val="auto"/>
          <w:sz w:val="24"/>
          <w:highlight w:val="none"/>
        </w:rPr>
        <w:t>注：供应商应在本表之后附相关人员班子证明材料。</w:t>
      </w:r>
    </w:p>
    <w:p>
      <w:pPr>
        <w:spacing w:line="360" w:lineRule="auto"/>
        <w:ind w:firstLine="480" w:firstLineChars="200"/>
        <w:outlineLvl w:val="0"/>
        <w:rPr>
          <w:rFonts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供应商：（公章）</w:t>
      </w:r>
    </w:p>
    <w:p>
      <w:pPr>
        <w:spacing w:line="360" w:lineRule="auto"/>
        <w:ind w:firstLine="480" w:firstLineChars="200"/>
        <w:outlineLvl w:val="0"/>
        <w:rPr>
          <w:rFonts w:ascii="宋体" w:hAnsi="宋体" w:eastAsia="宋体" w:cs="宋体"/>
          <w:b/>
          <w:color w:val="auto"/>
          <w:sz w:val="32"/>
          <w:szCs w:val="32"/>
          <w:highlight w:val="none"/>
        </w:rPr>
      </w:pPr>
      <w:r>
        <w:rPr>
          <w:rFonts w:hint="eastAsia" w:ascii="宋体" w:hAnsi="宋体" w:eastAsia="宋体" w:cs="宋体"/>
          <w:bCs/>
          <w:color w:val="auto"/>
          <w:sz w:val="24"/>
          <w:highlight w:val="none"/>
          <w:lang w:bidi="ar"/>
        </w:rPr>
        <w:t>法定代表人或授权委托人：（签字或印章）</w:t>
      </w:r>
      <w:r>
        <w:rPr>
          <w:rFonts w:hint="eastAsia" w:ascii="宋体" w:hAnsi="宋体" w:eastAsia="宋体" w:cs="宋体"/>
          <w:b/>
          <w:color w:val="auto"/>
          <w:sz w:val="32"/>
          <w:szCs w:val="32"/>
          <w:highlight w:val="none"/>
          <w:lang w:bidi="ar"/>
        </w:rPr>
        <w:t xml:space="preserve"> </w:t>
      </w:r>
    </w:p>
    <w:p>
      <w:pPr>
        <w:rPr>
          <w:rFonts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 xml:space="preserve"> </w:t>
      </w: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ind w:firstLine="422"/>
        <w:jc w:val="center"/>
        <w:rPr>
          <w:rFonts w:ascii="宋体" w:hAnsi="宋体" w:eastAsia="宋体" w:cs="宋体"/>
          <w:color w:val="auto"/>
          <w:highlight w:val="none"/>
        </w:rPr>
      </w:pPr>
    </w:p>
    <w:p>
      <w:pPr>
        <w:autoSpaceDE w:val="0"/>
        <w:autoSpaceDN w:val="0"/>
        <w:rPr>
          <w:rFonts w:ascii="宋体" w:hAnsi="宋体" w:eastAsia="宋体" w:cs="宋体"/>
          <w:color w:val="auto"/>
          <w:highlight w:val="none"/>
        </w:rPr>
      </w:pPr>
    </w:p>
    <w:p>
      <w:pPr>
        <w:pStyle w:val="10"/>
        <w:spacing w:line="500" w:lineRule="exact"/>
        <w:ind w:leftChars="0" w:hanging="100" w:firstLineChars="0"/>
        <w:outlineLvl w:val="1"/>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w:t>
      </w:r>
    </w:p>
    <w:p>
      <w:pPr>
        <w:autoSpaceDE w:val="0"/>
        <w:autoSpaceDN w:val="0"/>
        <w:jc w:val="center"/>
        <w:rPr>
          <w:rFonts w:hint="eastAsia" w:ascii="宋体" w:hAnsi="宋体" w:eastAsia="宋体" w:cs="宋体"/>
          <w:b/>
          <w:color w:val="auto"/>
          <w:sz w:val="28"/>
          <w:highlight w:val="none"/>
          <w:lang w:val="zh-CN"/>
        </w:rPr>
      </w:pPr>
    </w:p>
    <w:p>
      <w:pPr>
        <w:autoSpaceDE w:val="0"/>
        <w:autoSpaceDN w:val="0"/>
        <w:jc w:val="center"/>
        <w:rPr>
          <w:rFonts w:ascii="宋体" w:hAnsi="宋体" w:eastAsia="宋体" w:cs="宋体"/>
          <w:b/>
          <w:color w:val="auto"/>
          <w:sz w:val="28"/>
          <w:highlight w:val="none"/>
          <w:lang w:val="zh-CN"/>
        </w:rPr>
      </w:pPr>
      <w:r>
        <w:rPr>
          <w:rFonts w:hint="eastAsia" w:ascii="宋体" w:hAnsi="宋体" w:eastAsia="宋体" w:cs="宋体"/>
          <w:b/>
          <w:color w:val="auto"/>
          <w:sz w:val="28"/>
          <w:highlight w:val="none"/>
          <w:lang w:val="zh-CN"/>
        </w:rPr>
        <w:t>维保方案、设备更换方案</w:t>
      </w:r>
    </w:p>
    <w:p>
      <w:pPr>
        <w:autoSpaceDE w:val="0"/>
        <w:autoSpaceDN w:val="0"/>
        <w:jc w:val="center"/>
        <w:rPr>
          <w:rFonts w:ascii="宋体" w:hAnsi="宋体" w:eastAsia="宋体" w:cs="宋体"/>
          <w:b/>
          <w:color w:val="auto"/>
          <w:sz w:val="28"/>
          <w:highlight w:val="none"/>
          <w:lang w:val="zh-CN"/>
        </w:rPr>
      </w:pPr>
      <w:r>
        <w:rPr>
          <w:rFonts w:hint="eastAsia" w:ascii="宋体" w:hAnsi="宋体" w:eastAsia="宋体" w:cs="宋体"/>
          <w:b/>
          <w:color w:val="auto"/>
          <w:sz w:val="28"/>
          <w:highlight w:val="none"/>
          <w:lang w:val="zh-CN"/>
        </w:rPr>
        <w:t>（供应商自行编制）</w:t>
      </w: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autoSpaceDE w:val="0"/>
        <w:autoSpaceDN w:val="0"/>
        <w:ind w:firstLine="422"/>
        <w:jc w:val="center"/>
        <w:rPr>
          <w:rFonts w:ascii="宋体" w:hAnsi="宋体" w:eastAsia="宋体" w:cs="宋体"/>
          <w:b/>
          <w:color w:val="auto"/>
          <w:sz w:val="28"/>
          <w:highlight w:val="none"/>
          <w:lang w:val="zh-CN"/>
        </w:rPr>
      </w:pPr>
    </w:p>
    <w:p>
      <w:pPr>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r>
        <w:rPr>
          <w:rFonts w:hint="eastAsia" w:ascii="宋体" w:hAnsi="宋体" w:eastAsia="宋体" w:cs="宋体"/>
          <w:b/>
          <w:color w:val="auto"/>
          <w:sz w:val="32"/>
          <w:szCs w:val="32"/>
          <w:highlight w:val="none"/>
          <w:lang w:eastAsia="zh-CN"/>
        </w:rPr>
        <w:t>八</w:t>
      </w:r>
      <w:r>
        <w:rPr>
          <w:rFonts w:hint="eastAsia" w:ascii="宋体" w:hAnsi="宋体" w:eastAsia="宋体" w:cs="宋体"/>
          <w:b/>
          <w:color w:val="auto"/>
          <w:sz w:val="32"/>
          <w:szCs w:val="32"/>
          <w:highlight w:val="none"/>
        </w:rPr>
        <w:t>：</w:t>
      </w:r>
    </w:p>
    <w:p>
      <w:pPr>
        <w:pStyle w:val="10"/>
        <w:spacing w:line="500" w:lineRule="exact"/>
        <w:ind w:left="540" w:leftChars="0" w:firstLine="0" w:firstLineChars="0"/>
        <w:jc w:val="center"/>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资格声明</w:t>
      </w:r>
    </w:p>
    <w:p>
      <w:pPr>
        <w:spacing w:line="38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1．供应商概况：                                   </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 xml:space="preserve">        Ａ．供应商名称：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cr/>
      </w:r>
      <w:r>
        <w:rPr>
          <w:rFonts w:hint="eastAsia" w:ascii="宋体" w:hAnsi="宋体" w:eastAsia="宋体" w:cs="宋体"/>
          <w:color w:val="auto"/>
          <w:szCs w:val="21"/>
          <w:highlight w:val="none"/>
        </w:rPr>
        <w:t xml:space="preserve">        Ｂ．注册地址：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cr/>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 xml:space="preserve">        Ｃ．成立或注册日期：</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Ｄ．法人代表：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（姓名、职务）</w:t>
      </w:r>
    </w:p>
    <w:p>
      <w:pPr>
        <w:spacing w:line="38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实收资本：</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其中 国家资本：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法人资本：</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个人资本：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外商资本：</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Ｅ．最近资产负债表（到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日为止）。</w:t>
      </w:r>
    </w:p>
    <w:p>
      <w:pPr>
        <w:spacing w:line="38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(1)固定资产合计:</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(2)流动资产合计:</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(3)长期负债合计:</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(4)流动负债合计:</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Ｆ．最近损益表（到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日为止）。</w:t>
      </w:r>
    </w:p>
    <w:p>
      <w:pPr>
        <w:spacing w:line="380" w:lineRule="exact"/>
        <w:ind w:firstLine="840" w:firstLineChars="400"/>
        <w:rPr>
          <w:rFonts w:ascii="宋体" w:hAnsi="宋体" w:eastAsia="宋体" w:cs="宋体"/>
          <w:color w:val="auto"/>
          <w:szCs w:val="21"/>
          <w:highlight w:val="none"/>
          <w:u w:val="single"/>
        </w:rPr>
      </w:pPr>
      <w:r>
        <w:rPr>
          <w:rFonts w:hint="eastAsia" w:ascii="宋体" w:hAnsi="宋体" w:eastAsia="宋体" w:cs="宋体"/>
          <w:color w:val="auto"/>
          <w:szCs w:val="21"/>
          <w:highlight w:val="none"/>
        </w:rPr>
        <w:t>(1)本年（期）利润总额累计：</w:t>
      </w:r>
      <w:r>
        <w:rPr>
          <w:rFonts w:hint="eastAsia" w:ascii="宋体" w:hAnsi="宋体" w:eastAsia="宋体" w:cs="宋体"/>
          <w:color w:val="auto"/>
          <w:szCs w:val="21"/>
          <w:highlight w:val="none"/>
          <w:u w:val="single"/>
        </w:rPr>
        <w:t xml:space="preserve">            </w:t>
      </w:r>
    </w:p>
    <w:p>
      <w:pPr>
        <w:spacing w:line="380" w:lineRule="exact"/>
        <w:ind w:firstLine="840" w:firstLineChars="4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(2)本年（期）净利润累计： </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2．我方在此声明，我方具备并满足下列各项条款的规定。本声明如有虚假或不实之处，我方将失去合格供应商资格。</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（1）具有独立承担民事责任的能力； </w:t>
      </w: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（2）具有良好的商业信誉和健全的财务会计制度； </w:t>
      </w: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（3）具有履行合同所必需的设备和专业技术能力； </w:t>
      </w: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（4）有依法缴纳税收和社会保障资金的良好记录； </w:t>
      </w:r>
    </w:p>
    <w:p>
      <w:pPr>
        <w:spacing w:line="40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　　（5）近三年内，在经营活动中没有重大违法记录；</w:t>
      </w:r>
    </w:p>
    <w:p>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就我方全部所知，兹证明上述声明是真实、正确的，并已提供了全部现有资料和数据，我方同意根据贵方要求出示文件予以证实。</w:t>
      </w:r>
    </w:p>
    <w:p>
      <w:pPr>
        <w:spacing w:line="380" w:lineRule="exact"/>
        <w:rPr>
          <w:rFonts w:ascii="宋体" w:hAnsi="宋体" w:eastAsia="宋体" w:cs="宋体"/>
          <w:color w:val="auto"/>
          <w:szCs w:val="21"/>
          <w:highlight w:val="none"/>
        </w:rPr>
      </w:pPr>
    </w:p>
    <w:p>
      <w:pPr>
        <w:spacing w:line="38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供应商代表签名：</w:t>
      </w:r>
      <w:r>
        <w:rPr>
          <w:rFonts w:hint="eastAsia" w:ascii="宋体" w:hAnsi="宋体" w:eastAsia="宋体" w:cs="宋体"/>
          <w:color w:val="auto"/>
          <w:szCs w:val="21"/>
          <w:highlight w:val="none"/>
          <w:u w:val="single"/>
        </w:rPr>
        <w:t xml:space="preserve">                            </w:t>
      </w:r>
    </w:p>
    <w:p>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供应商（全称并加盖公章）：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80" w:lineRule="exact"/>
        <w:ind w:firstLine="420" w:firstLineChars="200"/>
        <w:rPr>
          <w:rFonts w:ascii="宋体" w:hAnsi="宋体" w:eastAsia="宋体" w:cs="宋体"/>
          <w:color w:val="auto"/>
          <w:szCs w:val="21"/>
          <w:highlight w:val="none"/>
        </w:rPr>
      </w:pPr>
      <w:bookmarkStart w:id="107" w:name="_Toc384994026"/>
      <w:bookmarkStart w:id="108" w:name="_Toc385597230"/>
      <w:r>
        <w:rPr>
          <w:rFonts w:hint="eastAsia" w:ascii="宋体" w:hAnsi="宋体" w:eastAsia="宋体" w:cs="宋体"/>
          <w:color w:val="auto"/>
          <w:szCs w:val="21"/>
          <w:highlight w:val="none"/>
        </w:rPr>
        <w:t>日      期：       年        月        日</w:t>
      </w:r>
      <w:bookmarkEnd w:id="107"/>
      <w:bookmarkEnd w:id="108"/>
    </w:p>
    <w:p>
      <w:pPr>
        <w:jc w:val="left"/>
        <w:outlineLvl w:val="0"/>
        <w:rPr>
          <w:rFonts w:ascii="宋体" w:hAnsi="宋体" w:eastAsia="宋体" w:cs="宋体"/>
          <w:b/>
          <w:color w:val="auto"/>
          <w:sz w:val="32"/>
          <w:szCs w:val="32"/>
          <w:highlight w:val="none"/>
        </w:rPr>
      </w:pPr>
    </w:p>
    <w:p>
      <w:pPr>
        <w:autoSpaceDE w:val="0"/>
        <w:autoSpaceDN w:val="0"/>
        <w:jc w:val="both"/>
        <w:rPr>
          <w:rFonts w:ascii="宋体" w:hAnsi="宋体" w:eastAsia="宋体" w:cs="宋体"/>
          <w:b/>
          <w:color w:val="auto"/>
          <w:sz w:val="28"/>
          <w:highlight w:val="none"/>
          <w:lang w:val="zh-CN"/>
        </w:rPr>
      </w:pPr>
    </w:p>
    <w:p>
      <w:pPr>
        <w:jc w:val="left"/>
        <w:outlineLvl w:val="0"/>
        <w:rPr>
          <w:rFonts w:ascii="宋体" w:hAnsi="宋体" w:eastAsia="宋体" w:cs="宋体"/>
          <w:b/>
          <w:bCs/>
          <w:color w:val="auto"/>
          <w:sz w:val="24"/>
          <w:highlight w:val="none"/>
        </w:rPr>
      </w:pPr>
      <w:r>
        <w:rPr>
          <w:rFonts w:hint="eastAsia" w:ascii="宋体" w:hAnsi="宋体" w:eastAsia="宋体" w:cs="宋体"/>
          <w:b/>
          <w:color w:val="auto"/>
          <w:sz w:val="32"/>
          <w:szCs w:val="32"/>
          <w:highlight w:val="none"/>
        </w:rPr>
        <w:t>附件</w:t>
      </w:r>
      <w:r>
        <w:rPr>
          <w:rFonts w:hint="eastAsia" w:ascii="宋体" w:hAnsi="宋体" w:eastAsia="宋体" w:cs="宋体"/>
          <w:b/>
          <w:color w:val="auto"/>
          <w:sz w:val="32"/>
          <w:szCs w:val="32"/>
          <w:highlight w:val="none"/>
          <w:lang w:eastAsia="zh-CN"/>
        </w:rPr>
        <w:t>九</w:t>
      </w:r>
      <w:r>
        <w:rPr>
          <w:rFonts w:hint="eastAsia" w:ascii="宋体" w:hAnsi="宋体" w:eastAsia="宋体" w:cs="宋体"/>
          <w:b/>
          <w:color w:val="auto"/>
          <w:sz w:val="32"/>
          <w:szCs w:val="32"/>
          <w:highlight w:val="none"/>
        </w:rPr>
        <w:t>：</w:t>
      </w:r>
    </w:p>
    <w:p>
      <w:pPr>
        <w:widowControl/>
        <w:jc w:val="center"/>
        <w:outlineLvl w:val="1"/>
        <w:rPr>
          <w:rFonts w:ascii="宋体" w:hAnsi="宋体" w:eastAsia="宋体" w:cs="宋体"/>
          <w:bCs/>
          <w:color w:val="auto"/>
          <w:sz w:val="24"/>
          <w:highlight w:val="none"/>
        </w:rPr>
      </w:pPr>
      <w:r>
        <w:rPr>
          <w:rFonts w:hint="eastAsia" w:ascii="宋体" w:hAnsi="宋体" w:eastAsia="宋体" w:cs="宋体"/>
          <w:b/>
          <w:bCs/>
          <w:color w:val="auto"/>
          <w:sz w:val="24"/>
          <w:highlight w:val="none"/>
        </w:rPr>
        <w:t>供应商简介及资质</w:t>
      </w:r>
    </w:p>
    <w:p>
      <w:pPr>
        <w:widowControl/>
        <w:spacing w:line="36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项目名称：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共</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   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bl>
      <w:tblPr>
        <w:tblStyle w:val="2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020"/>
        <w:gridCol w:w="1127"/>
        <w:gridCol w:w="1382"/>
        <w:gridCol w:w="720"/>
        <w:gridCol w:w="900"/>
        <w:gridCol w:w="360"/>
        <w:gridCol w:w="540"/>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tc>
        <w:tc>
          <w:tcPr>
            <w:tcW w:w="7523" w:type="dxa"/>
            <w:gridSpan w:val="8"/>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注册地址</w:t>
            </w:r>
          </w:p>
        </w:tc>
        <w:tc>
          <w:tcPr>
            <w:tcW w:w="4249" w:type="dxa"/>
            <w:gridSpan w:val="4"/>
            <w:vAlign w:val="center"/>
          </w:tcPr>
          <w:p>
            <w:pPr>
              <w:widowControl/>
              <w:jc w:val="left"/>
              <w:rPr>
                <w:rFonts w:ascii="宋体" w:hAnsi="宋体" w:eastAsia="宋体" w:cs="宋体"/>
                <w:bCs/>
                <w:color w:val="auto"/>
                <w:sz w:val="24"/>
                <w:highlight w:val="none"/>
              </w:rPr>
            </w:pPr>
          </w:p>
        </w:tc>
        <w:tc>
          <w:tcPr>
            <w:tcW w:w="126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邮政编码</w:t>
            </w:r>
          </w:p>
        </w:tc>
        <w:tc>
          <w:tcPr>
            <w:tcW w:w="2014" w:type="dxa"/>
            <w:gridSpan w:val="2"/>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15" w:type="dxa"/>
            <w:vMerge w:val="restart"/>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联系方式</w:t>
            </w:r>
          </w:p>
        </w:tc>
        <w:tc>
          <w:tcPr>
            <w:tcW w:w="1020"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联系人</w:t>
            </w:r>
          </w:p>
        </w:tc>
        <w:tc>
          <w:tcPr>
            <w:tcW w:w="3229" w:type="dxa"/>
            <w:gridSpan w:val="3"/>
            <w:vAlign w:val="center"/>
          </w:tcPr>
          <w:p>
            <w:pPr>
              <w:widowControl/>
              <w:jc w:val="left"/>
              <w:rPr>
                <w:rFonts w:ascii="宋体" w:hAnsi="宋体" w:eastAsia="宋体" w:cs="宋体"/>
                <w:bCs/>
                <w:color w:val="auto"/>
                <w:sz w:val="24"/>
                <w:highlight w:val="none"/>
              </w:rPr>
            </w:pPr>
          </w:p>
        </w:tc>
        <w:tc>
          <w:tcPr>
            <w:tcW w:w="126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电话</w:t>
            </w:r>
          </w:p>
        </w:tc>
        <w:tc>
          <w:tcPr>
            <w:tcW w:w="2014" w:type="dxa"/>
            <w:gridSpan w:val="2"/>
            <w:vMerge w:val="restart"/>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215" w:type="dxa"/>
            <w:vMerge w:val="continue"/>
            <w:vAlign w:val="center"/>
          </w:tcPr>
          <w:p>
            <w:pPr>
              <w:widowControl/>
              <w:jc w:val="center"/>
              <w:rPr>
                <w:rFonts w:ascii="宋体" w:hAnsi="宋体" w:eastAsia="宋体" w:cs="宋体"/>
                <w:bCs/>
                <w:color w:val="auto"/>
                <w:sz w:val="24"/>
                <w:highlight w:val="none"/>
              </w:rPr>
            </w:pPr>
          </w:p>
        </w:tc>
        <w:tc>
          <w:tcPr>
            <w:tcW w:w="1020"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传真</w:t>
            </w:r>
          </w:p>
        </w:tc>
        <w:tc>
          <w:tcPr>
            <w:tcW w:w="3229" w:type="dxa"/>
            <w:gridSpan w:val="3"/>
            <w:vAlign w:val="center"/>
          </w:tcPr>
          <w:p>
            <w:pPr>
              <w:widowControl/>
              <w:jc w:val="left"/>
              <w:rPr>
                <w:rFonts w:ascii="宋体" w:hAnsi="宋体" w:eastAsia="宋体" w:cs="宋体"/>
                <w:bCs/>
                <w:color w:val="auto"/>
                <w:sz w:val="24"/>
                <w:highlight w:val="none"/>
              </w:rPr>
            </w:pPr>
          </w:p>
        </w:tc>
        <w:tc>
          <w:tcPr>
            <w:tcW w:w="126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电子邮件</w:t>
            </w:r>
          </w:p>
        </w:tc>
        <w:tc>
          <w:tcPr>
            <w:tcW w:w="2014" w:type="dxa"/>
            <w:gridSpan w:val="2"/>
            <w:vMerge w:val="continue"/>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法定代表人</w:t>
            </w:r>
          </w:p>
        </w:tc>
        <w:tc>
          <w:tcPr>
            <w:tcW w:w="1020"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p>
        </w:tc>
        <w:tc>
          <w:tcPr>
            <w:tcW w:w="1127" w:type="dxa"/>
            <w:vAlign w:val="center"/>
          </w:tcPr>
          <w:p>
            <w:pPr>
              <w:widowControl/>
              <w:jc w:val="left"/>
              <w:rPr>
                <w:rFonts w:ascii="宋体" w:hAnsi="宋体" w:eastAsia="宋体" w:cs="宋体"/>
                <w:bCs/>
                <w:color w:val="auto"/>
                <w:sz w:val="24"/>
                <w:highlight w:val="none"/>
              </w:rPr>
            </w:pPr>
          </w:p>
        </w:tc>
        <w:tc>
          <w:tcPr>
            <w:tcW w:w="1382"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技术职称</w:t>
            </w:r>
          </w:p>
        </w:tc>
        <w:tc>
          <w:tcPr>
            <w:tcW w:w="1620" w:type="dxa"/>
            <w:gridSpan w:val="2"/>
            <w:vAlign w:val="center"/>
          </w:tcPr>
          <w:p>
            <w:pPr>
              <w:widowControl/>
              <w:jc w:val="left"/>
              <w:rPr>
                <w:rFonts w:ascii="宋体" w:hAnsi="宋体" w:eastAsia="宋体" w:cs="宋体"/>
                <w:bCs/>
                <w:color w:val="auto"/>
                <w:sz w:val="24"/>
                <w:highlight w:val="none"/>
              </w:rPr>
            </w:pPr>
          </w:p>
        </w:tc>
        <w:tc>
          <w:tcPr>
            <w:tcW w:w="90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电话</w:t>
            </w:r>
          </w:p>
        </w:tc>
        <w:tc>
          <w:tcPr>
            <w:tcW w:w="1474" w:type="dxa"/>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项目负责人</w:t>
            </w:r>
          </w:p>
        </w:tc>
        <w:tc>
          <w:tcPr>
            <w:tcW w:w="1020"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p>
        </w:tc>
        <w:tc>
          <w:tcPr>
            <w:tcW w:w="1127" w:type="dxa"/>
            <w:vAlign w:val="center"/>
          </w:tcPr>
          <w:p>
            <w:pPr>
              <w:widowControl/>
              <w:jc w:val="left"/>
              <w:rPr>
                <w:rFonts w:ascii="宋体" w:hAnsi="宋体" w:eastAsia="宋体" w:cs="宋体"/>
                <w:bCs/>
                <w:color w:val="auto"/>
                <w:sz w:val="24"/>
                <w:highlight w:val="none"/>
              </w:rPr>
            </w:pPr>
          </w:p>
        </w:tc>
        <w:tc>
          <w:tcPr>
            <w:tcW w:w="1382"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技术职称</w:t>
            </w:r>
          </w:p>
        </w:tc>
        <w:tc>
          <w:tcPr>
            <w:tcW w:w="1620" w:type="dxa"/>
            <w:gridSpan w:val="2"/>
            <w:vAlign w:val="center"/>
          </w:tcPr>
          <w:p>
            <w:pPr>
              <w:widowControl/>
              <w:jc w:val="left"/>
              <w:rPr>
                <w:rFonts w:ascii="宋体" w:hAnsi="宋体" w:eastAsia="宋体" w:cs="宋体"/>
                <w:bCs/>
                <w:color w:val="auto"/>
                <w:sz w:val="24"/>
                <w:highlight w:val="none"/>
              </w:rPr>
            </w:pPr>
          </w:p>
        </w:tc>
        <w:tc>
          <w:tcPr>
            <w:tcW w:w="90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电话</w:t>
            </w:r>
          </w:p>
        </w:tc>
        <w:tc>
          <w:tcPr>
            <w:tcW w:w="1474" w:type="dxa"/>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技术负责人</w:t>
            </w:r>
          </w:p>
        </w:tc>
        <w:tc>
          <w:tcPr>
            <w:tcW w:w="1020"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p>
        </w:tc>
        <w:tc>
          <w:tcPr>
            <w:tcW w:w="1127" w:type="dxa"/>
            <w:vAlign w:val="center"/>
          </w:tcPr>
          <w:p>
            <w:pPr>
              <w:widowControl/>
              <w:jc w:val="left"/>
              <w:rPr>
                <w:rFonts w:ascii="宋体" w:hAnsi="宋体" w:eastAsia="宋体" w:cs="宋体"/>
                <w:bCs/>
                <w:color w:val="auto"/>
                <w:sz w:val="24"/>
                <w:highlight w:val="none"/>
              </w:rPr>
            </w:pPr>
          </w:p>
        </w:tc>
        <w:tc>
          <w:tcPr>
            <w:tcW w:w="1382"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技术职称</w:t>
            </w:r>
          </w:p>
        </w:tc>
        <w:tc>
          <w:tcPr>
            <w:tcW w:w="1620" w:type="dxa"/>
            <w:gridSpan w:val="2"/>
            <w:vAlign w:val="center"/>
          </w:tcPr>
          <w:p>
            <w:pPr>
              <w:widowControl/>
              <w:jc w:val="left"/>
              <w:rPr>
                <w:rFonts w:ascii="宋体" w:hAnsi="宋体" w:eastAsia="宋体" w:cs="宋体"/>
                <w:bCs/>
                <w:color w:val="auto"/>
                <w:sz w:val="24"/>
                <w:highlight w:val="none"/>
              </w:rPr>
            </w:pPr>
          </w:p>
        </w:tc>
        <w:tc>
          <w:tcPr>
            <w:tcW w:w="90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电话</w:t>
            </w:r>
          </w:p>
        </w:tc>
        <w:tc>
          <w:tcPr>
            <w:tcW w:w="1474" w:type="dxa"/>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成立时间</w:t>
            </w:r>
          </w:p>
        </w:tc>
        <w:tc>
          <w:tcPr>
            <w:tcW w:w="2147" w:type="dxa"/>
            <w:gridSpan w:val="2"/>
            <w:vAlign w:val="center"/>
          </w:tcPr>
          <w:p>
            <w:pPr>
              <w:widowControl/>
              <w:jc w:val="left"/>
              <w:rPr>
                <w:rFonts w:ascii="宋体" w:hAnsi="宋体" w:eastAsia="宋体" w:cs="宋体"/>
                <w:bCs/>
                <w:color w:val="auto"/>
                <w:sz w:val="24"/>
                <w:highlight w:val="none"/>
              </w:rPr>
            </w:pPr>
          </w:p>
        </w:tc>
        <w:tc>
          <w:tcPr>
            <w:tcW w:w="5376" w:type="dxa"/>
            <w:gridSpan w:val="6"/>
            <w:vAlign w:val="center"/>
          </w:tcPr>
          <w:p>
            <w:pPr>
              <w:widowControl/>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215" w:type="dxa"/>
            <w:vMerge w:val="restart"/>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资质等级</w:t>
            </w:r>
          </w:p>
        </w:tc>
        <w:tc>
          <w:tcPr>
            <w:tcW w:w="2147" w:type="dxa"/>
            <w:gridSpan w:val="2"/>
            <w:vMerge w:val="restart"/>
            <w:vAlign w:val="center"/>
          </w:tcPr>
          <w:p>
            <w:pPr>
              <w:widowControl/>
              <w:jc w:val="left"/>
              <w:rPr>
                <w:rFonts w:ascii="宋体" w:hAnsi="宋体" w:eastAsia="宋体" w:cs="宋体"/>
                <w:bCs/>
                <w:color w:val="auto"/>
                <w:sz w:val="24"/>
                <w:highlight w:val="none"/>
              </w:rPr>
            </w:pPr>
          </w:p>
        </w:tc>
        <w:tc>
          <w:tcPr>
            <w:tcW w:w="1382" w:type="dxa"/>
            <w:vMerge w:val="restart"/>
            <w:vAlign w:val="center"/>
          </w:tcPr>
          <w:p>
            <w:pPr>
              <w:widowControl/>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其中</w:t>
            </w:r>
          </w:p>
        </w:tc>
        <w:tc>
          <w:tcPr>
            <w:tcW w:w="162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高级职称</w:t>
            </w:r>
          </w:p>
        </w:tc>
        <w:tc>
          <w:tcPr>
            <w:tcW w:w="2374" w:type="dxa"/>
            <w:gridSpan w:val="3"/>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215" w:type="dxa"/>
            <w:vMerge w:val="continue"/>
            <w:vAlign w:val="center"/>
          </w:tcPr>
          <w:p>
            <w:pPr>
              <w:widowControl/>
              <w:jc w:val="center"/>
              <w:rPr>
                <w:rFonts w:ascii="宋体" w:hAnsi="宋体" w:eastAsia="宋体" w:cs="宋体"/>
                <w:bCs/>
                <w:color w:val="auto"/>
                <w:sz w:val="24"/>
                <w:highlight w:val="none"/>
              </w:rPr>
            </w:pPr>
          </w:p>
        </w:tc>
        <w:tc>
          <w:tcPr>
            <w:tcW w:w="2147" w:type="dxa"/>
            <w:gridSpan w:val="2"/>
            <w:vMerge w:val="continue"/>
            <w:vAlign w:val="center"/>
          </w:tcPr>
          <w:p>
            <w:pPr>
              <w:widowControl/>
              <w:jc w:val="left"/>
              <w:rPr>
                <w:rFonts w:ascii="宋体" w:hAnsi="宋体" w:eastAsia="宋体" w:cs="宋体"/>
                <w:bCs/>
                <w:color w:val="auto"/>
                <w:sz w:val="24"/>
                <w:highlight w:val="none"/>
              </w:rPr>
            </w:pPr>
          </w:p>
        </w:tc>
        <w:tc>
          <w:tcPr>
            <w:tcW w:w="1382" w:type="dxa"/>
            <w:vMerge w:val="continue"/>
            <w:vAlign w:val="center"/>
          </w:tcPr>
          <w:p>
            <w:pPr>
              <w:widowControl/>
              <w:jc w:val="left"/>
              <w:rPr>
                <w:rFonts w:ascii="宋体" w:hAnsi="宋体" w:eastAsia="宋体" w:cs="宋体"/>
                <w:bCs/>
                <w:color w:val="auto"/>
                <w:sz w:val="24"/>
                <w:highlight w:val="none"/>
              </w:rPr>
            </w:pPr>
          </w:p>
        </w:tc>
        <w:tc>
          <w:tcPr>
            <w:tcW w:w="1620" w:type="dxa"/>
            <w:gridSpan w:val="2"/>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中级职称</w:t>
            </w:r>
          </w:p>
        </w:tc>
        <w:tc>
          <w:tcPr>
            <w:tcW w:w="2374" w:type="dxa"/>
            <w:gridSpan w:val="3"/>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215" w:type="dxa"/>
            <w:vMerge w:val="continue"/>
            <w:vAlign w:val="center"/>
          </w:tcPr>
          <w:p>
            <w:pPr>
              <w:widowControl/>
              <w:jc w:val="center"/>
              <w:rPr>
                <w:rFonts w:ascii="宋体" w:hAnsi="宋体" w:eastAsia="宋体" w:cs="宋体"/>
                <w:bCs/>
                <w:color w:val="auto"/>
                <w:sz w:val="24"/>
                <w:highlight w:val="none"/>
              </w:rPr>
            </w:pPr>
          </w:p>
        </w:tc>
        <w:tc>
          <w:tcPr>
            <w:tcW w:w="2147" w:type="dxa"/>
            <w:gridSpan w:val="2"/>
            <w:vMerge w:val="continue"/>
            <w:vAlign w:val="center"/>
          </w:tcPr>
          <w:p>
            <w:pPr>
              <w:widowControl/>
              <w:jc w:val="left"/>
              <w:rPr>
                <w:rFonts w:ascii="宋体" w:hAnsi="宋体" w:eastAsia="宋体" w:cs="宋体"/>
                <w:bCs/>
                <w:color w:val="auto"/>
                <w:sz w:val="24"/>
                <w:highlight w:val="none"/>
              </w:rPr>
            </w:pPr>
          </w:p>
        </w:tc>
        <w:tc>
          <w:tcPr>
            <w:tcW w:w="1382" w:type="dxa"/>
            <w:vMerge w:val="continue"/>
            <w:vAlign w:val="center"/>
          </w:tcPr>
          <w:p>
            <w:pPr>
              <w:widowControl/>
              <w:jc w:val="left"/>
              <w:rPr>
                <w:rFonts w:ascii="宋体" w:hAnsi="宋体" w:eastAsia="宋体" w:cs="宋体"/>
                <w:bCs/>
                <w:color w:val="auto"/>
                <w:sz w:val="24"/>
                <w:highlight w:val="none"/>
              </w:rPr>
            </w:pPr>
          </w:p>
        </w:tc>
        <w:tc>
          <w:tcPr>
            <w:tcW w:w="1620" w:type="dxa"/>
            <w:gridSpan w:val="2"/>
            <w:vMerge w:val="restart"/>
            <w:vAlign w:val="center"/>
          </w:tcPr>
          <w:p>
            <w:pPr>
              <w:widowControl/>
              <w:jc w:val="both"/>
              <w:rPr>
                <w:rFonts w:ascii="宋体" w:hAnsi="宋体" w:eastAsia="宋体" w:cs="宋体"/>
                <w:bCs/>
                <w:color w:val="auto"/>
                <w:sz w:val="24"/>
                <w:highlight w:val="none"/>
              </w:rPr>
            </w:pPr>
            <w:r>
              <w:rPr>
                <w:rFonts w:hint="eastAsia" w:ascii="宋体" w:hAnsi="宋体" w:eastAsia="宋体" w:cs="宋体"/>
                <w:bCs/>
                <w:color w:val="auto"/>
                <w:sz w:val="24"/>
                <w:highlight w:val="none"/>
              </w:rPr>
              <w:t>各类注册人员</w:t>
            </w:r>
          </w:p>
        </w:tc>
        <w:tc>
          <w:tcPr>
            <w:tcW w:w="2374" w:type="dxa"/>
            <w:gridSpan w:val="3"/>
            <w:vMerge w:val="restart"/>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营业执照号</w:t>
            </w:r>
          </w:p>
        </w:tc>
        <w:tc>
          <w:tcPr>
            <w:tcW w:w="2147" w:type="dxa"/>
            <w:gridSpan w:val="2"/>
            <w:vAlign w:val="center"/>
          </w:tcPr>
          <w:p>
            <w:pPr>
              <w:widowControl/>
              <w:jc w:val="left"/>
              <w:rPr>
                <w:rFonts w:ascii="宋体" w:hAnsi="宋体" w:eastAsia="宋体" w:cs="宋体"/>
                <w:bCs/>
                <w:color w:val="auto"/>
                <w:sz w:val="24"/>
                <w:highlight w:val="none"/>
              </w:rPr>
            </w:pPr>
          </w:p>
        </w:tc>
        <w:tc>
          <w:tcPr>
            <w:tcW w:w="1382" w:type="dxa"/>
            <w:vMerge w:val="continue"/>
            <w:vAlign w:val="center"/>
          </w:tcPr>
          <w:p>
            <w:pPr>
              <w:widowControl/>
              <w:jc w:val="left"/>
              <w:rPr>
                <w:rFonts w:ascii="宋体" w:hAnsi="宋体" w:eastAsia="宋体" w:cs="宋体"/>
                <w:bCs/>
                <w:color w:val="auto"/>
                <w:sz w:val="24"/>
                <w:highlight w:val="none"/>
              </w:rPr>
            </w:pPr>
          </w:p>
        </w:tc>
        <w:tc>
          <w:tcPr>
            <w:tcW w:w="1620" w:type="dxa"/>
            <w:gridSpan w:val="2"/>
            <w:vMerge w:val="continue"/>
            <w:vAlign w:val="center"/>
          </w:tcPr>
          <w:p>
            <w:pPr>
              <w:widowControl/>
              <w:jc w:val="left"/>
              <w:rPr>
                <w:rFonts w:ascii="宋体" w:hAnsi="宋体" w:eastAsia="宋体" w:cs="宋体"/>
                <w:bCs/>
                <w:color w:val="auto"/>
                <w:sz w:val="24"/>
                <w:highlight w:val="none"/>
              </w:rPr>
            </w:pPr>
          </w:p>
        </w:tc>
        <w:tc>
          <w:tcPr>
            <w:tcW w:w="2374" w:type="dxa"/>
            <w:gridSpan w:val="3"/>
            <w:vMerge w:val="continue"/>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注册资金</w:t>
            </w:r>
          </w:p>
        </w:tc>
        <w:tc>
          <w:tcPr>
            <w:tcW w:w="7523" w:type="dxa"/>
            <w:gridSpan w:val="8"/>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基本账户开户银行</w:t>
            </w:r>
          </w:p>
        </w:tc>
        <w:tc>
          <w:tcPr>
            <w:tcW w:w="7523" w:type="dxa"/>
            <w:gridSpan w:val="8"/>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基本账户账号</w:t>
            </w:r>
          </w:p>
        </w:tc>
        <w:tc>
          <w:tcPr>
            <w:tcW w:w="7523" w:type="dxa"/>
            <w:gridSpan w:val="8"/>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经营范围</w:t>
            </w:r>
          </w:p>
        </w:tc>
        <w:tc>
          <w:tcPr>
            <w:tcW w:w="7523" w:type="dxa"/>
            <w:gridSpan w:val="8"/>
            <w:vAlign w:val="center"/>
          </w:tcPr>
          <w:p>
            <w:pPr>
              <w:widowControl/>
              <w:jc w:val="left"/>
              <w:rPr>
                <w:rFonts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15" w:type="dxa"/>
            <w:vAlign w:val="center"/>
          </w:tcPr>
          <w:p>
            <w:pPr>
              <w:widowControl/>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备    注</w:t>
            </w:r>
          </w:p>
        </w:tc>
        <w:tc>
          <w:tcPr>
            <w:tcW w:w="7523" w:type="dxa"/>
            <w:gridSpan w:val="8"/>
            <w:vAlign w:val="center"/>
          </w:tcPr>
          <w:p>
            <w:pPr>
              <w:widowControl/>
              <w:jc w:val="left"/>
              <w:rPr>
                <w:rFonts w:ascii="宋体" w:hAnsi="宋体" w:eastAsia="宋体" w:cs="宋体"/>
                <w:bCs/>
                <w:color w:val="auto"/>
                <w:sz w:val="24"/>
                <w:highlight w:val="none"/>
              </w:rPr>
            </w:pPr>
          </w:p>
        </w:tc>
      </w:tr>
    </w:tbl>
    <w:p>
      <w:pPr>
        <w:widowControl/>
        <w:spacing w:line="36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供应商名称（公章）：                               </w:t>
      </w:r>
    </w:p>
    <w:p>
      <w:pPr>
        <w:widowControl/>
        <w:spacing w:line="36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法定代表人或授权代表（签字或盖章）：</w:t>
      </w:r>
    </w:p>
    <w:p>
      <w:pPr>
        <w:widowControl/>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年 月 日</w:t>
      </w:r>
    </w:p>
    <w:p>
      <w:pPr>
        <w:jc w:val="left"/>
        <w:outlineLvl w:val="0"/>
        <w:rPr>
          <w:rFonts w:ascii="宋体" w:hAnsi="宋体" w:eastAsia="宋体" w:cs="宋体"/>
          <w:b/>
          <w:bCs/>
          <w:color w:val="auto"/>
          <w:sz w:val="24"/>
          <w:highlight w:val="none"/>
        </w:rPr>
      </w:pPr>
      <w:r>
        <w:rPr>
          <w:rFonts w:hint="eastAsia" w:ascii="宋体" w:hAnsi="宋体" w:eastAsia="宋体" w:cs="宋体"/>
          <w:b/>
          <w:color w:val="auto"/>
          <w:sz w:val="32"/>
          <w:szCs w:val="32"/>
          <w:highlight w:val="none"/>
        </w:rPr>
        <w:t>附件十：</w:t>
      </w:r>
    </w:p>
    <w:p>
      <w:pPr>
        <w:pStyle w:val="4"/>
        <w:spacing w:before="0" w:after="0"/>
        <w:jc w:val="center"/>
        <w:rPr>
          <w:rFonts w:ascii="宋体" w:hAnsi="宋体" w:eastAsia="宋体" w:cs="宋体"/>
          <w:color w:val="auto"/>
          <w:highlight w:val="none"/>
        </w:rPr>
      </w:pPr>
      <w:r>
        <w:rPr>
          <w:rFonts w:hint="eastAsia" w:ascii="宋体" w:hAnsi="宋体" w:eastAsia="宋体" w:cs="宋体"/>
          <w:color w:val="auto"/>
          <w:highlight w:val="none"/>
        </w:rPr>
        <w:t>近年财务状况</w:t>
      </w:r>
    </w:p>
    <w:p>
      <w:pPr>
        <w:topLinePunct/>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sz w:val="24"/>
          <w:highlight w:val="none"/>
        </w:rPr>
        <w:t>2016年度-2018年度财务状况良好的证明材料（资产负债表、现金流量表、利润表、财务情况说明书、银行资信证明等均可）</w:t>
      </w: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p>
    <w:p>
      <w:pP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附件十</w:t>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32"/>
          <w:szCs w:val="32"/>
          <w:highlight w:val="none"/>
        </w:rPr>
        <w:t>：</w:t>
      </w:r>
    </w:p>
    <w:p>
      <w:pPr>
        <w:pStyle w:val="10"/>
        <w:spacing w:line="500" w:lineRule="exact"/>
        <w:ind w:left="540" w:leftChars="0" w:firstLine="0" w:firstLineChars="0"/>
        <w:jc w:val="center"/>
        <w:outlineLvl w:val="1"/>
        <w:rPr>
          <w:rFonts w:ascii="宋体" w:hAnsi="宋体" w:eastAsia="宋体" w:cs="宋体"/>
          <w:b/>
          <w:color w:val="auto"/>
          <w:sz w:val="28"/>
          <w:highlight w:val="none"/>
        </w:rPr>
      </w:pPr>
      <w:r>
        <w:rPr>
          <w:rFonts w:hint="eastAsia" w:ascii="宋体" w:hAnsi="宋体" w:eastAsia="宋体" w:cs="宋体"/>
          <w:b/>
          <w:color w:val="auto"/>
          <w:sz w:val="28"/>
          <w:highlight w:val="none"/>
        </w:rPr>
        <w:t>经营业绩一览表</w:t>
      </w:r>
    </w:p>
    <w:p>
      <w:pPr>
        <w:pStyle w:val="10"/>
        <w:spacing w:line="500" w:lineRule="exact"/>
        <w:ind w:left="540" w:leftChars="0" w:firstLine="0" w:firstLineChars="0"/>
        <w:jc w:val="center"/>
        <w:outlineLvl w:val="1"/>
        <w:rPr>
          <w:rFonts w:ascii="宋体" w:hAnsi="宋体" w:eastAsia="宋体" w:cs="宋体"/>
          <w:b/>
          <w:color w:val="auto"/>
          <w:sz w:val="28"/>
          <w:szCs w:val="22"/>
          <w:highlight w:val="none"/>
        </w:rPr>
      </w:pPr>
      <w:r>
        <w:rPr>
          <w:rFonts w:hint="eastAsia" w:ascii="宋体" w:hAnsi="宋体" w:eastAsia="宋体" w:cs="宋体"/>
          <w:b/>
          <w:color w:val="auto"/>
          <w:sz w:val="28"/>
          <w:szCs w:val="22"/>
          <w:highlight w:val="none"/>
        </w:rPr>
        <w:t>（2016年至今）</w:t>
      </w:r>
    </w:p>
    <w:p>
      <w:pPr>
        <w:ind w:right="187" w:firstLine="120" w:firstLineChars="50"/>
        <w:rPr>
          <w:rFonts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pPr>
        <w:ind w:right="187" w:firstLine="120" w:firstLineChars="50"/>
        <w:rPr>
          <w:rFonts w:ascii="宋体" w:hAnsi="宋体" w:eastAsia="宋体" w:cs="宋体"/>
          <w:color w:val="auto"/>
          <w:sz w:val="24"/>
          <w:highlight w:val="none"/>
        </w:rPr>
      </w:pPr>
      <w:r>
        <w:rPr>
          <w:rFonts w:hint="eastAsia" w:ascii="宋体" w:hAnsi="宋体" w:eastAsia="宋体" w:cs="宋体"/>
          <w:color w:val="auto"/>
          <w:sz w:val="24"/>
          <w:highlight w:val="none"/>
        </w:rPr>
        <w:t>报价单位名称（公章）：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法定代表人或授权代表签字：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1856"/>
        <w:gridCol w:w="1566"/>
        <w:gridCol w:w="1144"/>
        <w:gridCol w:w="1378"/>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917" w:type="dxa"/>
            <w:vAlign w:val="center"/>
          </w:tcPr>
          <w:p>
            <w:pPr>
              <w:tabs>
                <w:tab w:val="left" w:pos="979"/>
                <w:tab w:val="left" w:pos="1440"/>
                <w:tab w:val="left" w:pos="1620"/>
              </w:tabs>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1144" w:type="dxa"/>
            <w:vAlign w:val="center"/>
          </w:tcPr>
          <w:p>
            <w:pPr>
              <w:tabs>
                <w:tab w:val="left" w:pos="720"/>
                <w:tab w:val="left" w:pos="1440"/>
                <w:tab w:val="left" w:pos="1620"/>
              </w:tabs>
              <w:ind w:right="187"/>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378" w:type="dxa"/>
            <w:vAlign w:val="center"/>
          </w:tcPr>
          <w:p>
            <w:pPr>
              <w:tabs>
                <w:tab w:val="left" w:pos="720"/>
                <w:tab w:val="left" w:pos="1440"/>
                <w:tab w:val="left" w:pos="1620"/>
              </w:tabs>
              <w:ind w:right="187"/>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156" w:type="dxa"/>
            <w:vAlign w:val="center"/>
          </w:tcPr>
          <w:p>
            <w:pPr>
              <w:tabs>
                <w:tab w:val="left" w:pos="720"/>
                <w:tab w:val="left" w:pos="1440"/>
                <w:tab w:val="left" w:pos="1620"/>
              </w:tabs>
              <w:ind w:right="187"/>
              <w:jc w:val="center"/>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917" w:type="dxa"/>
          </w:tcPr>
          <w:p>
            <w:pPr>
              <w:tabs>
                <w:tab w:val="left" w:pos="720"/>
                <w:tab w:val="left" w:pos="1440"/>
                <w:tab w:val="left" w:pos="1620"/>
              </w:tabs>
              <w:ind w:right="187"/>
              <w:rPr>
                <w:rFonts w:ascii="宋体" w:hAnsi="宋体" w:eastAsia="宋体" w:cs="宋体"/>
                <w:color w:val="auto"/>
                <w:sz w:val="24"/>
                <w:highlight w:val="none"/>
              </w:rPr>
            </w:pPr>
          </w:p>
        </w:tc>
        <w:tc>
          <w:tcPr>
            <w:tcW w:w="185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566" w:type="dxa"/>
            <w:vAlign w:val="center"/>
          </w:tcPr>
          <w:p>
            <w:pPr>
              <w:tabs>
                <w:tab w:val="left" w:pos="720"/>
                <w:tab w:val="left" w:pos="1440"/>
                <w:tab w:val="left" w:pos="1620"/>
              </w:tabs>
              <w:ind w:right="187"/>
              <w:jc w:val="center"/>
              <w:rPr>
                <w:rFonts w:ascii="宋体" w:hAnsi="宋体" w:eastAsia="宋体" w:cs="宋体"/>
                <w:color w:val="auto"/>
                <w:sz w:val="24"/>
                <w:highlight w:val="none"/>
              </w:rPr>
            </w:pPr>
          </w:p>
        </w:tc>
        <w:tc>
          <w:tcPr>
            <w:tcW w:w="1144" w:type="dxa"/>
          </w:tcPr>
          <w:p>
            <w:pPr>
              <w:tabs>
                <w:tab w:val="left" w:pos="720"/>
                <w:tab w:val="left" w:pos="1440"/>
                <w:tab w:val="left" w:pos="1620"/>
              </w:tabs>
              <w:ind w:right="187"/>
              <w:rPr>
                <w:rFonts w:ascii="宋体" w:hAnsi="宋体" w:eastAsia="宋体" w:cs="宋体"/>
                <w:color w:val="auto"/>
                <w:sz w:val="24"/>
                <w:highlight w:val="none"/>
              </w:rPr>
            </w:pPr>
          </w:p>
        </w:tc>
        <w:tc>
          <w:tcPr>
            <w:tcW w:w="1378" w:type="dxa"/>
          </w:tcPr>
          <w:p>
            <w:pPr>
              <w:tabs>
                <w:tab w:val="left" w:pos="720"/>
                <w:tab w:val="left" w:pos="1440"/>
                <w:tab w:val="left" w:pos="1620"/>
              </w:tabs>
              <w:ind w:right="187"/>
              <w:rPr>
                <w:rFonts w:ascii="宋体" w:hAnsi="宋体" w:eastAsia="宋体" w:cs="宋体"/>
                <w:color w:val="auto"/>
                <w:sz w:val="24"/>
                <w:highlight w:val="none"/>
              </w:rPr>
            </w:pPr>
          </w:p>
        </w:tc>
        <w:tc>
          <w:tcPr>
            <w:tcW w:w="1156" w:type="dxa"/>
          </w:tcPr>
          <w:p>
            <w:pPr>
              <w:tabs>
                <w:tab w:val="left" w:pos="720"/>
                <w:tab w:val="left" w:pos="1440"/>
                <w:tab w:val="left" w:pos="1620"/>
              </w:tabs>
              <w:ind w:right="187"/>
              <w:rPr>
                <w:rFonts w:ascii="宋体" w:hAnsi="宋体" w:eastAsia="宋体" w:cs="宋体"/>
                <w:color w:val="auto"/>
                <w:sz w:val="24"/>
                <w:highlight w:val="none"/>
              </w:rPr>
            </w:pPr>
          </w:p>
        </w:tc>
      </w:tr>
    </w:tbl>
    <w:p>
      <w:pPr>
        <w:ind w:right="187"/>
        <w:rPr>
          <w:rFonts w:ascii="宋体" w:hAnsi="宋体" w:eastAsia="宋体" w:cs="宋体"/>
          <w:color w:val="auto"/>
          <w:sz w:val="24"/>
          <w:highlight w:val="none"/>
        </w:rPr>
      </w:pP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说明：1、本表可按同样格式扩展。</w:t>
      </w:r>
    </w:p>
    <w:p>
      <w:pPr>
        <w:spacing w:line="360" w:lineRule="exact"/>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2、表后需附合同复印件（加盖报价单位公章）。</w:t>
      </w:r>
    </w:p>
    <w:p>
      <w:pPr>
        <w:jc w:val="right"/>
        <w:rPr>
          <w:rFonts w:ascii="宋体" w:hAnsi="宋体" w:eastAsia="宋体" w:cs="宋体"/>
          <w:color w:val="auto"/>
          <w:highlight w:val="none"/>
        </w:rPr>
      </w:pPr>
      <w:r>
        <w:rPr>
          <w:rFonts w:hint="eastAsia" w:ascii="宋体" w:hAnsi="宋体" w:eastAsia="宋体" w:cs="宋体"/>
          <w:color w:val="auto"/>
          <w:highlight w:val="none"/>
        </w:rPr>
        <w:t>年    月    日</w:t>
      </w:r>
    </w:p>
    <w:p>
      <w:pPr>
        <w:widowControl/>
        <w:jc w:val="left"/>
        <w:rPr>
          <w:rFonts w:ascii="宋体" w:hAnsi="宋体" w:eastAsia="宋体" w:cs="宋体"/>
          <w:color w:val="auto"/>
          <w:highlight w:val="none"/>
        </w:rPr>
      </w:pPr>
    </w:p>
    <w:p>
      <w:pPr>
        <w:pStyle w:val="10"/>
        <w:spacing w:line="500" w:lineRule="exact"/>
        <w:ind w:leftChars="0" w:hanging="100" w:firstLineChars="0"/>
        <w:outlineLvl w:val="1"/>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附件十</w:t>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w:t>
      </w:r>
    </w:p>
    <w:p>
      <w:pPr>
        <w:pStyle w:val="10"/>
        <w:spacing w:line="500" w:lineRule="exact"/>
        <w:ind w:leftChars="0" w:hanging="100" w:firstLineChars="0"/>
        <w:jc w:val="center"/>
        <w:outlineLvl w:val="1"/>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val="zh-CN"/>
        </w:rPr>
        <w:t>封面格式</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jc w:val="center"/>
        </w:trPr>
        <w:tc>
          <w:tcPr>
            <w:tcW w:w="4461" w:type="dxa"/>
            <w:tcBorders>
              <w:top w:val="single" w:color="auto" w:sz="4" w:space="0"/>
              <w:left w:val="single" w:color="auto" w:sz="4" w:space="0"/>
              <w:bottom w:val="single" w:color="auto" w:sz="4" w:space="0"/>
              <w:right w:val="single" w:color="auto" w:sz="4" w:space="0"/>
            </w:tcBorders>
          </w:tcPr>
          <w:p>
            <w:pPr>
              <w:pStyle w:val="19"/>
              <w:spacing w:line="280" w:lineRule="exact"/>
              <w:rPr>
                <w:rFonts w:eastAsia="宋体" w:cs="宋体"/>
                <w:b/>
                <w:color w:val="auto"/>
                <w:sz w:val="30"/>
                <w:szCs w:val="20"/>
                <w:highlight w:val="none"/>
              </w:rPr>
            </w:pPr>
          </w:p>
          <w:p>
            <w:pPr>
              <w:pStyle w:val="19"/>
              <w:spacing w:line="280" w:lineRule="exact"/>
              <w:rPr>
                <w:rFonts w:eastAsia="宋体" w:cs="宋体"/>
                <w:b/>
                <w:color w:val="auto"/>
                <w:sz w:val="30"/>
                <w:szCs w:val="20"/>
                <w:highlight w:val="none"/>
              </w:rPr>
            </w:pPr>
            <w:r>
              <w:rPr>
                <w:rFonts w:hint="eastAsia" w:eastAsia="宋体" w:cs="宋体"/>
                <w:b/>
                <w:color w:val="auto"/>
                <w:sz w:val="30"/>
                <w:szCs w:val="20"/>
                <w:highlight w:val="none"/>
              </w:rPr>
              <w:t>响应文件</w:t>
            </w:r>
          </w:p>
          <w:p>
            <w:pPr>
              <w:pStyle w:val="19"/>
              <w:spacing w:line="280" w:lineRule="exact"/>
              <w:rPr>
                <w:rFonts w:eastAsia="宋体" w:cs="宋体"/>
                <w:color w:val="auto"/>
                <w:sz w:val="30"/>
                <w:szCs w:val="20"/>
                <w:highlight w:val="none"/>
              </w:rPr>
            </w:pPr>
            <w:r>
              <w:rPr>
                <w:rFonts w:hint="eastAsia" w:eastAsia="宋体" w:cs="宋体"/>
                <w:b/>
                <w:color w:val="auto"/>
                <w:sz w:val="30"/>
                <w:szCs w:val="20"/>
                <w:highlight w:val="none"/>
              </w:rPr>
              <w:t>（正本）</w:t>
            </w:r>
          </w:p>
          <w:p>
            <w:pPr>
              <w:pStyle w:val="19"/>
              <w:spacing w:line="280" w:lineRule="exact"/>
              <w:rPr>
                <w:rFonts w:eastAsia="宋体" w:cs="宋体"/>
                <w:color w:val="auto"/>
                <w:szCs w:val="20"/>
                <w:highlight w:val="none"/>
              </w:rPr>
            </w:pPr>
            <w:r>
              <w:rPr>
                <w:rFonts w:hint="eastAsia" w:eastAsia="宋体" w:cs="宋体"/>
                <w:color w:val="auto"/>
                <w:szCs w:val="20"/>
                <w:highlight w:val="none"/>
              </w:rPr>
              <w:t xml:space="preserve">项目编号： </w:t>
            </w:r>
          </w:p>
          <w:p>
            <w:pPr>
              <w:pStyle w:val="19"/>
              <w:spacing w:line="280" w:lineRule="exact"/>
              <w:rPr>
                <w:rFonts w:hint="eastAsia" w:eastAsia="宋体" w:cs="宋体"/>
                <w:color w:val="auto"/>
                <w:szCs w:val="20"/>
                <w:highlight w:val="none"/>
              </w:rPr>
            </w:pPr>
            <w:r>
              <w:rPr>
                <w:rFonts w:hint="eastAsia" w:eastAsia="宋体" w:cs="宋体"/>
                <w:color w:val="auto"/>
                <w:szCs w:val="20"/>
                <w:highlight w:val="none"/>
              </w:rPr>
              <w:t>项目名称：</w:t>
            </w:r>
          </w:p>
          <w:p>
            <w:pPr>
              <w:pStyle w:val="19"/>
              <w:spacing w:line="280" w:lineRule="exact"/>
              <w:rPr>
                <w:rFonts w:hint="default" w:eastAsia="宋体" w:cs="宋体"/>
                <w:color w:val="auto"/>
                <w:szCs w:val="20"/>
                <w:highlight w:val="none"/>
                <w:lang w:val="en-US" w:eastAsia="zh-CN"/>
              </w:rPr>
            </w:pPr>
            <w:r>
              <w:rPr>
                <w:rFonts w:hint="eastAsia" w:eastAsia="宋体" w:cs="宋体"/>
                <w:color w:val="auto"/>
                <w:szCs w:val="20"/>
                <w:highlight w:val="none"/>
                <w:lang w:eastAsia="zh-CN"/>
              </w:rPr>
              <w:t>包</w:t>
            </w:r>
            <w:r>
              <w:rPr>
                <w:rFonts w:hint="eastAsia" w:eastAsia="宋体" w:cs="宋体"/>
                <w:color w:val="auto"/>
                <w:szCs w:val="20"/>
                <w:highlight w:val="none"/>
                <w:lang w:val="en-US" w:eastAsia="zh-CN"/>
              </w:rPr>
              <w:t xml:space="preserve">    号：</w:t>
            </w:r>
          </w:p>
          <w:p>
            <w:pPr>
              <w:pStyle w:val="19"/>
              <w:spacing w:line="280" w:lineRule="exact"/>
              <w:rPr>
                <w:rFonts w:eastAsia="宋体" w:cs="宋体"/>
                <w:color w:val="auto"/>
                <w:szCs w:val="20"/>
                <w:highlight w:val="none"/>
              </w:rPr>
            </w:pPr>
            <w:r>
              <w:rPr>
                <w:rFonts w:hint="eastAsia" w:eastAsia="宋体" w:cs="宋体"/>
                <w:color w:val="auto"/>
                <w:szCs w:val="20"/>
                <w:highlight w:val="none"/>
              </w:rPr>
              <w:t>供应商名称（公章）：</w:t>
            </w:r>
          </w:p>
          <w:p>
            <w:pPr>
              <w:pStyle w:val="19"/>
              <w:spacing w:line="280" w:lineRule="exact"/>
              <w:rPr>
                <w:rFonts w:eastAsia="宋体" w:cs="宋体"/>
                <w:color w:val="auto"/>
                <w:szCs w:val="20"/>
                <w:highlight w:val="none"/>
              </w:rPr>
            </w:pPr>
            <w:r>
              <w:rPr>
                <w:rFonts w:hint="eastAsia" w:eastAsia="宋体" w:cs="宋体"/>
                <w:color w:val="auto"/>
                <w:szCs w:val="20"/>
                <w:highlight w:val="none"/>
              </w:rPr>
              <w:t>地    址：</w:t>
            </w:r>
          </w:p>
          <w:p>
            <w:pPr>
              <w:pStyle w:val="19"/>
              <w:spacing w:line="280" w:lineRule="exact"/>
              <w:rPr>
                <w:rFonts w:eastAsia="宋体" w:cs="宋体"/>
                <w:color w:val="auto"/>
                <w:szCs w:val="20"/>
                <w:highlight w:val="none"/>
              </w:rPr>
            </w:pPr>
            <w:r>
              <w:rPr>
                <w:rFonts w:hint="eastAsia" w:eastAsia="宋体" w:cs="宋体"/>
                <w:color w:val="auto"/>
                <w:szCs w:val="20"/>
                <w:highlight w:val="none"/>
              </w:rPr>
              <w:t>电    话：</w:t>
            </w:r>
          </w:p>
          <w:p>
            <w:pPr>
              <w:pStyle w:val="19"/>
              <w:spacing w:line="280" w:lineRule="exact"/>
              <w:rPr>
                <w:rFonts w:eastAsia="宋体" w:cs="宋体"/>
                <w:color w:val="auto"/>
                <w:szCs w:val="20"/>
                <w:highlight w:val="none"/>
              </w:rPr>
            </w:pPr>
            <w:r>
              <w:rPr>
                <w:rFonts w:hint="eastAsia" w:eastAsia="宋体" w:cs="宋体"/>
                <w:color w:val="auto"/>
                <w:szCs w:val="20"/>
                <w:highlight w:val="none"/>
              </w:rPr>
              <w:t>传    真：</w:t>
            </w:r>
          </w:p>
        </w:tc>
        <w:tc>
          <w:tcPr>
            <w:tcW w:w="4459" w:type="dxa"/>
            <w:tcBorders>
              <w:top w:val="single" w:color="auto" w:sz="4" w:space="0"/>
              <w:left w:val="single" w:color="auto" w:sz="4" w:space="0"/>
              <w:bottom w:val="single" w:color="auto" w:sz="4" w:space="0"/>
              <w:right w:val="single" w:color="auto" w:sz="4" w:space="0"/>
            </w:tcBorders>
          </w:tcPr>
          <w:p>
            <w:pPr>
              <w:pStyle w:val="19"/>
              <w:spacing w:line="280" w:lineRule="exact"/>
              <w:rPr>
                <w:rFonts w:eastAsia="宋体" w:cs="宋体"/>
                <w:b/>
                <w:color w:val="auto"/>
                <w:sz w:val="30"/>
                <w:szCs w:val="20"/>
                <w:highlight w:val="none"/>
              </w:rPr>
            </w:pPr>
          </w:p>
          <w:p>
            <w:pPr>
              <w:pStyle w:val="19"/>
              <w:spacing w:line="280" w:lineRule="exact"/>
              <w:rPr>
                <w:rFonts w:eastAsia="宋体" w:cs="宋体"/>
                <w:b/>
                <w:color w:val="auto"/>
                <w:sz w:val="30"/>
                <w:szCs w:val="20"/>
                <w:highlight w:val="none"/>
              </w:rPr>
            </w:pPr>
            <w:r>
              <w:rPr>
                <w:rFonts w:hint="eastAsia" w:eastAsia="宋体" w:cs="宋体"/>
                <w:b/>
                <w:color w:val="auto"/>
                <w:sz w:val="30"/>
                <w:szCs w:val="20"/>
                <w:highlight w:val="none"/>
              </w:rPr>
              <w:t>响应文件</w:t>
            </w:r>
          </w:p>
          <w:p>
            <w:pPr>
              <w:pStyle w:val="19"/>
              <w:spacing w:line="280" w:lineRule="exact"/>
              <w:rPr>
                <w:rFonts w:eastAsia="宋体" w:cs="宋体"/>
                <w:b/>
                <w:color w:val="auto"/>
                <w:sz w:val="30"/>
                <w:szCs w:val="20"/>
                <w:highlight w:val="none"/>
              </w:rPr>
            </w:pPr>
            <w:r>
              <w:rPr>
                <w:rFonts w:hint="eastAsia" w:eastAsia="宋体" w:cs="宋体"/>
                <w:b/>
                <w:color w:val="auto"/>
                <w:sz w:val="30"/>
                <w:szCs w:val="20"/>
                <w:highlight w:val="none"/>
              </w:rPr>
              <w:t>（副本）</w:t>
            </w:r>
          </w:p>
          <w:p>
            <w:pPr>
              <w:pStyle w:val="19"/>
              <w:spacing w:line="280" w:lineRule="exact"/>
              <w:rPr>
                <w:rFonts w:eastAsia="宋体" w:cs="宋体"/>
                <w:color w:val="auto"/>
                <w:szCs w:val="20"/>
                <w:highlight w:val="none"/>
              </w:rPr>
            </w:pPr>
            <w:r>
              <w:rPr>
                <w:rFonts w:hint="eastAsia" w:eastAsia="宋体" w:cs="宋体"/>
                <w:color w:val="auto"/>
                <w:szCs w:val="20"/>
                <w:highlight w:val="none"/>
              </w:rPr>
              <w:t xml:space="preserve">项目编号：  </w:t>
            </w:r>
          </w:p>
          <w:p>
            <w:pPr>
              <w:pStyle w:val="19"/>
              <w:spacing w:line="280" w:lineRule="exact"/>
              <w:rPr>
                <w:rFonts w:hint="eastAsia" w:eastAsia="宋体" w:cs="宋体"/>
                <w:color w:val="auto"/>
                <w:szCs w:val="20"/>
                <w:highlight w:val="none"/>
              </w:rPr>
            </w:pPr>
            <w:r>
              <w:rPr>
                <w:rFonts w:hint="eastAsia" w:eastAsia="宋体" w:cs="宋体"/>
                <w:color w:val="auto"/>
                <w:szCs w:val="20"/>
                <w:highlight w:val="none"/>
              </w:rPr>
              <w:t>项目名称：</w:t>
            </w:r>
          </w:p>
          <w:p>
            <w:pPr>
              <w:pStyle w:val="19"/>
              <w:spacing w:line="280" w:lineRule="exact"/>
              <w:rPr>
                <w:rFonts w:hint="eastAsia" w:eastAsia="宋体" w:cs="宋体"/>
                <w:color w:val="auto"/>
                <w:szCs w:val="20"/>
                <w:highlight w:val="none"/>
              </w:rPr>
            </w:pPr>
            <w:r>
              <w:rPr>
                <w:rFonts w:hint="eastAsia" w:eastAsia="宋体" w:cs="宋体"/>
                <w:color w:val="auto"/>
                <w:szCs w:val="20"/>
                <w:highlight w:val="none"/>
                <w:lang w:eastAsia="zh-CN"/>
              </w:rPr>
              <w:t>包</w:t>
            </w:r>
            <w:r>
              <w:rPr>
                <w:rFonts w:hint="eastAsia" w:eastAsia="宋体" w:cs="宋体"/>
                <w:color w:val="auto"/>
                <w:szCs w:val="20"/>
                <w:highlight w:val="none"/>
                <w:lang w:val="en-US" w:eastAsia="zh-CN"/>
              </w:rPr>
              <w:t xml:space="preserve">    号：</w:t>
            </w:r>
          </w:p>
          <w:p>
            <w:pPr>
              <w:pStyle w:val="19"/>
              <w:spacing w:line="280" w:lineRule="exact"/>
              <w:rPr>
                <w:rFonts w:eastAsia="宋体" w:cs="宋体"/>
                <w:color w:val="auto"/>
                <w:szCs w:val="20"/>
                <w:highlight w:val="none"/>
              </w:rPr>
            </w:pPr>
            <w:r>
              <w:rPr>
                <w:rFonts w:hint="eastAsia" w:eastAsia="宋体" w:cs="宋体"/>
                <w:color w:val="auto"/>
                <w:szCs w:val="20"/>
                <w:highlight w:val="none"/>
              </w:rPr>
              <w:t>供应商名称（公章）：</w:t>
            </w:r>
          </w:p>
          <w:p>
            <w:pPr>
              <w:pStyle w:val="19"/>
              <w:spacing w:line="280" w:lineRule="exact"/>
              <w:rPr>
                <w:rFonts w:eastAsia="宋体" w:cs="宋体"/>
                <w:color w:val="auto"/>
                <w:szCs w:val="20"/>
                <w:highlight w:val="none"/>
              </w:rPr>
            </w:pPr>
            <w:r>
              <w:rPr>
                <w:rFonts w:hint="eastAsia" w:eastAsia="宋体" w:cs="宋体"/>
                <w:color w:val="auto"/>
                <w:szCs w:val="20"/>
                <w:highlight w:val="none"/>
              </w:rPr>
              <w:t>地    址：</w:t>
            </w:r>
          </w:p>
          <w:p>
            <w:pPr>
              <w:pStyle w:val="19"/>
              <w:spacing w:line="280" w:lineRule="exact"/>
              <w:rPr>
                <w:rFonts w:eastAsia="宋体" w:cs="宋体"/>
                <w:color w:val="auto"/>
                <w:szCs w:val="20"/>
                <w:highlight w:val="none"/>
              </w:rPr>
            </w:pPr>
            <w:r>
              <w:rPr>
                <w:rFonts w:hint="eastAsia" w:eastAsia="宋体" w:cs="宋体"/>
                <w:color w:val="auto"/>
                <w:szCs w:val="20"/>
                <w:highlight w:val="none"/>
              </w:rPr>
              <w:t>电    话：</w:t>
            </w:r>
          </w:p>
          <w:p>
            <w:pPr>
              <w:pStyle w:val="19"/>
              <w:spacing w:line="280" w:lineRule="exact"/>
              <w:rPr>
                <w:rFonts w:eastAsia="宋体" w:cs="宋体"/>
                <w:color w:val="auto"/>
                <w:sz w:val="32"/>
                <w:szCs w:val="20"/>
                <w:highlight w:val="none"/>
              </w:rPr>
            </w:pPr>
            <w:r>
              <w:rPr>
                <w:rFonts w:hint="eastAsia" w:eastAsia="宋体" w:cs="宋体"/>
                <w:color w:val="auto"/>
                <w:szCs w:val="20"/>
                <w:highlight w:val="none"/>
              </w:rPr>
              <w:t xml:space="preserve">传    真： </w:t>
            </w:r>
          </w:p>
        </w:tc>
      </w:tr>
    </w:tbl>
    <w:tbl>
      <w:tblPr>
        <w:tblStyle w:val="20"/>
        <w:tblpPr w:leftFromText="180" w:rightFromText="180" w:vertAnchor="text" w:horzAnchor="page" w:tblpX="1545" w:tblpY="248"/>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7" w:hRule="atLeast"/>
        </w:trPr>
        <w:tc>
          <w:tcPr>
            <w:tcW w:w="9020" w:type="dxa"/>
          </w:tcPr>
          <w:p>
            <w:pPr>
              <w:pStyle w:val="19"/>
              <w:spacing w:line="360" w:lineRule="exact"/>
              <w:rPr>
                <w:rFonts w:eastAsia="宋体" w:cs="宋体"/>
                <w:color w:val="auto"/>
                <w:sz w:val="30"/>
                <w:szCs w:val="20"/>
                <w:highlight w:val="none"/>
              </w:rPr>
            </w:pPr>
            <w:r>
              <w:rPr>
                <w:rFonts w:hint="eastAsia" w:eastAsia="宋体" w:cs="宋体"/>
                <w:b/>
                <w:color w:val="auto"/>
                <w:sz w:val="30"/>
                <w:szCs w:val="20"/>
                <w:highlight w:val="none"/>
              </w:rPr>
              <w:t xml:space="preserve">证件资料及资质证明文件 </w:t>
            </w:r>
          </w:p>
          <w:p>
            <w:pPr>
              <w:pStyle w:val="19"/>
              <w:spacing w:line="360" w:lineRule="exact"/>
              <w:rPr>
                <w:rFonts w:eastAsia="宋体" w:cs="宋体"/>
                <w:color w:val="auto"/>
                <w:szCs w:val="20"/>
                <w:highlight w:val="none"/>
              </w:rPr>
            </w:pPr>
            <w:r>
              <w:rPr>
                <w:rFonts w:hint="eastAsia" w:eastAsia="宋体" w:cs="宋体"/>
                <w:color w:val="auto"/>
                <w:szCs w:val="20"/>
                <w:highlight w:val="none"/>
              </w:rPr>
              <w:t xml:space="preserve">项目编号： </w:t>
            </w:r>
          </w:p>
          <w:p>
            <w:pPr>
              <w:pStyle w:val="19"/>
              <w:spacing w:line="360" w:lineRule="exact"/>
              <w:rPr>
                <w:rFonts w:hint="eastAsia" w:eastAsia="宋体" w:cs="宋体"/>
                <w:color w:val="auto"/>
                <w:szCs w:val="20"/>
                <w:highlight w:val="none"/>
              </w:rPr>
            </w:pPr>
            <w:r>
              <w:rPr>
                <w:rFonts w:hint="eastAsia" w:eastAsia="宋体" w:cs="宋体"/>
                <w:color w:val="auto"/>
                <w:szCs w:val="20"/>
                <w:highlight w:val="none"/>
              </w:rPr>
              <w:t>项目名称：</w:t>
            </w:r>
          </w:p>
          <w:p>
            <w:pPr>
              <w:pStyle w:val="19"/>
              <w:spacing w:line="280" w:lineRule="exact"/>
              <w:rPr>
                <w:rFonts w:hint="eastAsia" w:eastAsia="宋体" w:cs="宋体"/>
                <w:color w:val="auto"/>
                <w:szCs w:val="20"/>
                <w:highlight w:val="none"/>
              </w:rPr>
            </w:pPr>
            <w:r>
              <w:rPr>
                <w:rFonts w:hint="eastAsia" w:eastAsia="宋体" w:cs="宋体"/>
                <w:color w:val="auto"/>
                <w:szCs w:val="20"/>
                <w:highlight w:val="none"/>
                <w:lang w:eastAsia="zh-CN"/>
              </w:rPr>
              <w:t>包</w:t>
            </w:r>
            <w:r>
              <w:rPr>
                <w:rFonts w:hint="eastAsia" w:eastAsia="宋体" w:cs="宋体"/>
                <w:color w:val="auto"/>
                <w:szCs w:val="20"/>
                <w:highlight w:val="none"/>
                <w:lang w:val="en-US" w:eastAsia="zh-CN"/>
              </w:rPr>
              <w:t xml:space="preserve">    号：</w:t>
            </w:r>
          </w:p>
          <w:p>
            <w:pPr>
              <w:pStyle w:val="19"/>
              <w:spacing w:line="360" w:lineRule="exact"/>
              <w:rPr>
                <w:rFonts w:eastAsia="宋体" w:cs="宋体"/>
                <w:color w:val="auto"/>
                <w:szCs w:val="20"/>
                <w:highlight w:val="none"/>
                <w:u w:val="single"/>
              </w:rPr>
            </w:pPr>
            <w:r>
              <w:rPr>
                <w:rFonts w:hint="eastAsia" w:eastAsia="宋体" w:cs="宋体"/>
                <w:color w:val="auto"/>
                <w:szCs w:val="20"/>
                <w:highlight w:val="none"/>
              </w:rPr>
              <w:t>供应商名称（公章）：</w:t>
            </w:r>
            <w:r>
              <w:rPr>
                <w:rFonts w:hint="eastAsia" w:eastAsia="宋体" w:cs="宋体"/>
                <w:color w:val="auto"/>
                <w:szCs w:val="20"/>
                <w:highlight w:val="none"/>
                <w:u w:val="single"/>
              </w:rPr>
              <w:t xml:space="preserve">                </w:t>
            </w:r>
          </w:p>
          <w:tbl>
            <w:tblPr>
              <w:tblStyle w:val="20"/>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490"/>
              <w:gridCol w:w="158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序号</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jc w:val="center"/>
                    <w:rPr>
                      <w:rFonts w:eastAsia="宋体" w:cs="宋体"/>
                      <w:color w:val="auto"/>
                      <w:szCs w:val="20"/>
                      <w:highlight w:val="none"/>
                    </w:rPr>
                  </w:pPr>
                  <w:r>
                    <w:rPr>
                      <w:rFonts w:hint="eastAsia" w:eastAsia="宋体" w:cs="宋体"/>
                      <w:color w:val="auto"/>
                      <w:szCs w:val="20"/>
                      <w:highlight w:val="none"/>
                    </w:rPr>
                    <w:t>证件名称</w:t>
                  </w: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数量</w:t>
                  </w: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1</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2</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r>
                    <w:rPr>
                      <w:rFonts w:hint="eastAsia" w:eastAsia="宋体" w:cs="宋体"/>
                      <w:color w:val="auto"/>
                      <w:szCs w:val="20"/>
                      <w:highlight w:val="none"/>
                    </w:rPr>
                    <w:t>…</w:t>
                  </w:r>
                </w:p>
              </w:tc>
              <w:tc>
                <w:tcPr>
                  <w:tcW w:w="3490"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86"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c>
                <w:tcPr>
                  <w:tcW w:w="1529" w:type="dxa"/>
                  <w:tcBorders>
                    <w:top w:val="single" w:color="auto" w:sz="4" w:space="0"/>
                    <w:left w:val="single" w:color="auto" w:sz="4" w:space="0"/>
                    <w:bottom w:val="single" w:color="auto" w:sz="4" w:space="0"/>
                    <w:right w:val="single" w:color="auto" w:sz="4" w:space="0"/>
                  </w:tcBorders>
                </w:tcPr>
                <w:p>
                  <w:pPr>
                    <w:pStyle w:val="19"/>
                    <w:spacing w:line="360" w:lineRule="exact"/>
                    <w:rPr>
                      <w:rFonts w:eastAsia="宋体" w:cs="宋体"/>
                      <w:color w:val="auto"/>
                      <w:szCs w:val="20"/>
                      <w:highlight w:val="none"/>
                    </w:rPr>
                  </w:pPr>
                </w:p>
              </w:tc>
            </w:tr>
          </w:tbl>
          <w:p>
            <w:pPr>
              <w:pStyle w:val="19"/>
              <w:spacing w:line="360" w:lineRule="exact"/>
              <w:rPr>
                <w:rFonts w:eastAsia="宋体" w:cs="宋体"/>
                <w:color w:val="auto"/>
                <w:szCs w:val="20"/>
                <w:highlight w:val="none"/>
              </w:rPr>
            </w:pPr>
          </w:p>
        </w:tc>
      </w:tr>
    </w:tbl>
    <w:p>
      <w:pPr>
        <w:pStyle w:val="19"/>
        <w:spacing w:before="0" w:beforeAutospacing="0" w:after="0" w:afterAutospacing="0"/>
        <w:ind w:firstLine="630" w:firstLineChars="196"/>
        <w:jc w:val="center"/>
        <w:rPr>
          <w:rFonts w:eastAsia="宋体" w:cs="宋体"/>
          <w:b/>
          <w:color w:val="auto"/>
          <w:sz w:val="32"/>
          <w:szCs w:val="20"/>
          <w:highlight w:val="none"/>
        </w:rPr>
      </w:pPr>
      <w:r>
        <w:rPr>
          <w:rFonts w:hint="eastAsia" w:eastAsia="宋体" w:cs="宋体"/>
          <w:b/>
          <w:color w:val="auto"/>
          <w:sz w:val="32"/>
          <w:szCs w:val="20"/>
          <w:highlight w:val="none"/>
        </w:rPr>
        <w:t>封口格式：</w:t>
      </w:r>
    </w:p>
    <w:tbl>
      <w:tblPr>
        <w:tblStyle w:val="20"/>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080" w:type="dxa"/>
            <w:tcBorders>
              <w:top w:val="single" w:color="auto" w:sz="4" w:space="0"/>
              <w:left w:val="single" w:color="auto" w:sz="4" w:space="0"/>
              <w:bottom w:val="single" w:color="auto" w:sz="4" w:space="0"/>
              <w:right w:val="single" w:color="auto" w:sz="4" w:space="0"/>
            </w:tcBorders>
            <w:vAlign w:val="center"/>
          </w:tcPr>
          <w:p>
            <w:pPr>
              <w:pStyle w:val="19"/>
              <w:tabs>
                <w:tab w:val="left" w:pos="0"/>
              </w:tabs>
              <w:ind w:left="-260" w:leftChars="-124" w:firstLine="259" w:firstLineChars="108"/>
              <w:rPr>
                <w:rFonts w:eastAsia="宋体" w:cs="宋体"/>
                <w:color w:val="auto"/>
                <w:szCs w:val="20"/>
                <w:highlight w:val="none"/>
              </w:rPr>
            </w:pPr>
            <w:r>
              <w:rPr>
                <w:rFonts w:hint="eastAsia" w:eastAsia="宋体" w:cs="宋体"/>
                <w:color w:val="auto"/>
                <w:szCs w:val="20"/>
                <w:highlight w:val="none"/>
              </w:rPr>
              <w:t>………………于</w:t>
            </w:r>
            <w:r>
              <w:rPr>
                <w:rFonts w:hint="eastAsia" w:eastAsia="宋体" w:cs="宋体"/>
                <w:color w:val="auto"/>
                <w:highlight w:val="none"/>
              </w:rPr>
              <w:t>2019年     月     日</w:t>
            </w:r>
            <w:r>
              <w:rPr>
                <w:rFonts w:hint="eastAsia" w:eastAsia="宋体" w:cs="宋体"/>
                <w:color w:val="auto"/>
                <w:szCs w:val="20"/>
                <w:highlight w:val="none"/>
              </w:rPr>
              <w:t>之前不准启封（公章）…………………</w:t>
            </w:r>
          </w:p>
        </w:tc>
      </w:tr>
    </w:tbl>
    <w:p>
      <w:pPr>
        <w:pStyle w:val="3"/>
        <w:rPr>
          <w:rFonts w:ascii="宋体" w:hAnsi="宋体" w:eastAsia="宋体" w:cs="宋体"/>
          <w:bCs w:val="0"/>
          <w:color w:val="auto"/>
          <w:highlight w:val="none"/>
        </w:rPr>
      </w:pPr>
      <w:r>
        <w:rPr>
          <w:rFonts w:hint="eastAsia" w:ascii="宋体" w:hAnsi="宋体" w:eastAsia="宋体" w:cs="宋体"/>
          <w:bCs w:val="0"/>
          <w:color w:val="auto"/>
          <w:highlight w:val="none"/>
        </w:rPr>
        <w:t>第六章  评分标准</w:t>
      </w:r>
      <w:bookmarkEnd w:id="103"/>
      <w:bookmarkEnd w:id="104"/>
      <w:bookmarkEnd w:id="105"/>
      <w:bookmarkEnd w:id="106"/>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第一阶段：初审</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1、响应文件的符合性评审：</w:t>
      </w:r>
    </w:p>
    <w:p>
      <w:pPr>
        <w:pStyle w:val="31"/>
        <w:widowControl/>
        <w:spacing w:line="400" w:lineRule="exact"/>
        <w:ind w:firstLine="480"/>
        <w:jc w:val="both"/>
        <w:rPr>
          <w:rFonts w:hint="default" w:hAnsi="宋体" w:cs="宋体"/>
          <w:color w:val="auto"/>
          <w:sz w:val="24"/>
          <w:szCs w:val="24"/>
          <w:highlight w:val="none"/>
        </w:rPr>
      </w:pPr>
      <w:r>
        <w:rPr>
          <w:rFonts w:hAnsi="宋体" w:cs="宋体"/>
          <w:color w:val="auto"/>
          <w:sz w:val="24"/>
          <w:szCs w:val="24"/>
          <w:highlight w:val="none"/>
        </w:rPr>
        <w:t>响应文件应实质性响应采购文件的所有条款、条件，所谓实质上响应是指响应文件应与采购标文件的所有实质性条款、条件和规定相符，无显著差异或保留。能实质性响应采购文件的响应文件进入下一阶段评审。</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2、技术标评审：</w:t>
      </w:r>
    </w:p>
    <w:p>
      <w:pPr>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按附表所述的评审细则，对各供应商的响应文件进行综合评审。</w:t>
      </w:r>
    </w:p>
    <w:p>
      <w:pPr>
        <w:tabs>
          <w:tab w:val="left" w:pos="6500"/>
        </w:tabs>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3、商务标评审：</w:t>
      </w:r>
    </w:p>
    <w:p>
      <w:pPr>
        <w:pStyle w:val="31"/>
        <w:widowControl/>
        <w:spacing w:line="400" w:lineRule="exact"/>
        <w:ind w:firstLine="480"/>
        <w:jc w:val="both"/>
        <w:rPr>
          <w:rFonts w:hint="default" w:hAnsi="宋体" w:cs="宋体"/>
          <w:color w:val="auto"/>
          <w:sz w:val="24"/>
          <w:szCs w:val="24"/>
          <w:highlight w:val="none"/>
        </w:rPr>
      </w:pPr>
      <w:r>
        <w:rPr>
          <w:rFonts w:hAnsi="宋体" w:cs="宋体"/>
          <w:color w:val="auto"/>
          <w:sz w:val="24"/>
          <w:szCs w:val="24"/>
          <w:highlight w:val="none"/>
        </w:rPr>
        <w:t>商务标评审包括磋商报价校核，审查全部报价数据的正确性，分析磋商报价构成的合理性，经磋商小组论证为有效最终报价的商务标进入终审。</w:t>
      </w:r>
    </w:p>
    <w:p>
      <w:pPr>
        <w:pStyle w:val="31"/>
        <w:widowControl/>
        <w:spacing w:line="400" w:lineRule="exact"/>
        <w:ind w:firstLine="480"/>
        <w:jc w:val="both"/>
        <w:rPr>
          <w:rFonts w:hint="default" w:hAnsi="宋体" w:cs="宋体"/>
          <w:color w:val="auto"/>
          <w:sz w:val="24"/>
          <w:szCs w:val="24"/>
          <w:highlight w:val="none"/>
        </w:rPr>
      </w:pPr>
      <w:r>
        <w:rPr>
          <w:rFonts w:hAnsi="宋体" w:cs="宋体"/>
          <w:color w:val="auto"/>
          <w:sz w:val="24"/>
          <w:szCs w:val="24"/>
          <w:highlight w:val="none"/>
        </w:rPr>
        <w:t>第二阶段：终审</w:t>
      </w:r>
    </w:p>
    <w:p>
      <w:pPr>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通过初审后的各供应商，由磋商小组根据商务标评审细则进行审核，磋商小组与合格供应商进行技术及商务磋商，并将技术标的审核情况与商务标的审核情况进行汇总。采购人根据磋商小组提出的书面评标报告和推荐的成交候选人确定成交供应商。</w:t>
      </w: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sz w:val="28"/>
          <w:szCs w:val="28"/>
          <w:highlight w:val="none"/>
        </w:rPr>
        <w:t>评分办法</w:t>
      </w:r>
    </w:p>
    <w:tbl>
      <w:tblPr>
        <w:tblStyle w:val="20"/>
        <w:tblpPr w:leftFromText="180" w:rightFromText="180" w:vertAnchor="text" w:horzAnchor="page" w:tblpX="1243" w:tblpY="403"/>
        <w:tblOverlap w:val="never"/>
        <w:tblW w:w="9780" w:type="dxa"/>
        <w:tblInd w:w="0" w:type="dxa"/>
        <w:tblLayout w:type="fixed"/>
        <w:tblCellMar>
          <w:top w:w="0" w:type="dxa"/>
          <w:left w:w="108" w:type="dxa"/>
          <w:bottom w:w="0" w:type="dxa"/>
          <w:right w:w="108" w:type="dxa"/>
        </w:tblCellMar>
      </w:tblPr>
      <w:tblGrid>
        <w:gridCol w:w="935"/>
        <w:gridCol w:w="1830"/>
        <w:gridCol w:w="7015"/>
      </w:tblGrid>
      <w:tr>
        <w:tblPrEx>
          <w:tblCellMar>
            <w:top w:w="0" w:type="dxa"/>
            <w:left w:w="108" w:type="dxa"/>
            <w:bottom w:w="0" w:type="dxa"/>
            <w:right w:w="108" w:type="dxa"/>
          </w:tblCellMar>
        </w:tblPrEx>
        <w:trPr>
          <w:trHeight w:val="467" w:hRule="atLeast"/>
        </w:trPr>
        <w:tc>
          <w:tcPr>
            <w:tcW w:w="93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hanging="3"/>
              <w:jc w:val="center"/>
              <w:textAlignment w:val="baseline"/>
              <w:rPr>
                <w:rFonts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70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672"/>
              <w:jc w:val="center"/>
              <w:textAlignment w:val="baseline"/>
              <w:rPr>
                <w:rFonts w:ascii="宋体" w:hAnsi="宋体" w:eastAsia="宋体" w:cs="宋体"/>
                <w:b/>
                <w:color w:val="auto"/>
                <w:sz w:val="24"/>
                <w:highlight w:val="none"/>
              </w:rPr>
            </w:pPr>
            <w:r>
              <w:rPr>
                <w:rFonts w:hint="eastAsia" w:ascii="宋体" w:hAnsi="宋体" w:eastAsia="宋体" w:cs="宋体"/>
                <w:b/>
                <w:color w:val="auto"/>
                <w:sz w:val="24"/>
                <w:highlight w:val="none"/>
              </w:rPr>
              <w:t>细则</w:t>
            </w:r>
          </w:p>
        </w:tc>
      </w:tr>
      <w:tr>
        <w:tblPrEx>
          <w:tblCellMar>
            <w:top w:w="0" w:type="dxa"/>
            <w:left w:w="108" w:type="dxa"/>
            <w:bottom w:w="0" w:type="dxa"/>
            <w:right w:w="108" w:type="dxa"/>
          </w:tblCellMar>
        </w:tblPrEx>
        <w:trPr>
          <w:trHeight w:val="2611" w:hRule="atLeast"/>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商务</w:t>
            </w:r>
          </w:p>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部分</w:t>
            </w:r>
          </w:p>
        </w:tc>
        <w:tc>
          <w:tcPr>
            <w:tcW w:w="1830"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w:t>
            </w:r>
          </w:p>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tc>
        <w:tc>
          <w:tcPr>
            <w:tcW w:w="70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维保费报价：满足竞争性磋商文件要求且所报价格最低的最终总报价为评审基准价,其价格分为满分。其它投标单位的价格分统一按照下列公式计算：报价得分=(评审基准价/最终总报价)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100。</w:t>
            </w:r>
          </w:p>
          <w:p>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（四舍五入保留小数点后两位有效数字）</w:t>
            </w:r>
          </w:p>
        </w:tc>
      </w:tr>
      <w:tr>
        <w:tblPrEx>
          <w:tblCellMar>
            <w:top w:w="0" w:type="dxa"/>
            <w:left w:w="108" w:type="dxa"/>
            <w:bottom w:w="0" w:type="dxa"/>
            <w:right w:w="108" w:type="dxa"/>
          </w:tblCellMar>
        </w:tblPrEx>
        <w:trPr>
          <w:trHeight w:val="5204" w:hRule="atLeast"/>
        </w:trPr>
        <w:tc>
          <w:tcPr>
            <w:tcW w:w="9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w:t>
            </w:r>
          </w:p>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部分</w:t>
            </w:r>
          </w:p>
        </w:tc>
        <w:tc>
          <w:tcPr>
            <w:tcW w:w="1830"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维保方案</w:t>
            </w:r>
          </w:p>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p>
        </w:tc>
        <w:tc>
          <w:tcPr>
            <w:tcW w:w="701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8"/>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对供应商提供的维保方案科学性、合理性等进行分析、比较打分，得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8"/>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供应商提供的维护、保养计划安排等进行分析、比较打分，得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8"/>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供应商对磋商文件的响应程度进行分析、比较打分，得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对各供应商的项目实施人员（主要项目负责人、从业人员及其技术资格）是否满足本项目的要求等进行分析、比较，得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8"/>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对各供应商提供技术服务周到、及时是否满足磋商文件要求等进行分析、比较，得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8"/>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对各供应商提供的设备配置是否满足本次维保要求进行分析、比较，得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tblPrEx>
          <w:tblCellMar>
            <w:top w:w="0" w:type="dxa"/>
            <w:left w:w="108" w:type="dxa"/>
            <w:bottom w:w="0" w:type="dxa"/>
            <w:right w:w="108" w:type="dxa"/>
          </w:tblCellMar>
        </w:tblPrEx>
        <w:trPr>
          <w:trHeight w:val="1882" w:hRule="atLeast"/>
        </w:trPr>
        <w:tc>
          <w:tcPr>
            <w:tcW w:w="9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p>
        </w:tc>
        <w:tc>
          <w:tcPr>
            <w:tcW w:w="1830" w:type="dxa"/>
            <w:tcBorders>
              <w:top w:val="single" w:color="000000" w:sz="8"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设备更换方案（</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分）</w:t>
            </w:r>
          </w:p>
        </w:tc>
        <w:tc>
          <w:tcPr>
            <w:tcW w:w="70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1、对设备例行保养、定期保养方案，能确保设备长时间正常运行，得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highlight w:val="none"/>
              </w:rPr>
            </w:pPr>
            <w:r>
              <w:rPr>
                <w:rFonts w:hint="eastAsia" w:ascii="宋体" w:hAnsi="宋体" w:eastAsia="宋体" w:cs="宋体"/>
                <w:color w:val="auto"/>
                <w:sz w:val="24"/>
                <w:highlight w:val="none"/>
              </w:rPr>
              <w:t>2、保修期外维护设备报价清单详细、无漏项，维护费用合理，得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r>
      <w:tr>
        <w:tblPrEx>
          <w:tblCellMar>
            <w:top w:w="0" w:type="dxa"/>
            <w:left w:w="108" w:type="dxa"/>
            <w:bottom w:w="0" w:type="dxa"/>
            <w:right w:w="108" w:type="dxa"/>
          </w:tblCellMar>
        </w:tblPrEx>
        <w:trPr>
          <w:trHeight w:val="3754" w:hRule="atLeast"/>
        </w:trPr>
        <w:tc>
          <w:tcPr>
            <w:tcW w:w="9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资信部分</w:t>
            </w:r>
          </w:p>
        </w:tc>
        <w:tc>
          <w:tcPr>
            <w:tcW w:w="1830"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企业信誉、业绩</w:t>
            </w:r>
          </w:p>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p>
        </w:tc>
        <w:tc>
          <w:tcPr>
            <w:tcW w:w="7015" w:type="dxa"/>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供应商自2016年1月1日以来同类项目业绩，每有一项业绩得2分，最多得6分，否则不得分。（需提供合同原件，未提供不得分，时间以合同签订时间为准。）</w:t>
            </w:r>
          </w:p>
          <w:p>
            <w:pPr>
              <w:keepNext w:val="0"/>
              <w:keepLines w:val="0"/>
              <w:pageBreakBefore w:val="0"/>
              <w:widowControl w:val="0"/>
              <w:numPr>
                <w:ilvl w:val="0"/>
                <w:numId w:val="0"/>
              </w:numPr>
              <w:kinsoku/>
              <w:wordWrap/>
              <w:overflowPunct/>
              <w:topLinePunct w:val="0"/>
              <w:autoSpaceDE/>
              <w:autoSpaceDN/>
              <w:bidi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2、项目负责人和技术负责人具备一级注册消防工程师的得每人得2分，最多得4分。（需提供证书原件，否则不得分）</w:t>
            </w:r>
          </w:p>
          <w:p>
            <w:pPr>
              <w:keepNext w:val="0"/>
              <w:keepLines w:val="0"/>
              <w:pageBreakBefore w:val="0"/>
              <w:widowControl w:val="0"/>
              <w:numPr>
                <w:ilvl w:val="0"/>
                <w:numId w:val="0"/>
              </w:numPr>
              <w:kinsoku/>
              <w:wordWrap/>
              <w:overflowPunct/>
              <w:topLinePunct w:val="0"/>
              <w:autoSpaceDE/>
              <w:autoSpaceDN/>
              <w:bidi w:val="0"/>
              <w:snapToGrid w:val="0"/>
              <w:spacing w:line="360" w:lineRule="auto"/>
              <w:rPr>
                <w:rFonts w:ascii="宋体" w:hAnsi="宋体" w:eastAsia="宋体" w:cs="宋体"/>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供应商通过质量管理体系认证，环境管理体系认证和职业健康安全管理体系认证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每有一个得1分</w:t>
            </w:r>
            <w:r>
              <w:rPr>
                <w:rFonts w:hint="eastAsia" w:ascii="宋体" w:hAnsi="宋体" w:eastAsia="宋体" w:cs="宋体"/>
                <w:color w:val="auto"/>
                <w:sz w:val="24"/>
                <w:highlight w:val="none"/>
                <w:lang w:eastAsia="zh-CN"/>
              </w:rPr>
              <w:t>，本项最多得</w:t>
            </w:r>
            <w:r>
              <w:rPr>
                <w:rFonts w:hint="eastAsia" w:ascii="宋体" w:hAnsi="宋体" w:eastAsia="宋体" w:cs="宋体"/>
                <w:color w:val="auto"/>
                <w:sz w:val="24"/>
                <w:highlight w:val="none"/>
              </w:rPr>
              <w:t>3分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tc>
      </w:tr>
      <w:tr>
        <w:tblPrEx>
          <w:tblCellMar>
            <w:top w:w="0" w:type="dxa"/>
            <w:left w:w="108" w:type="dxa"/>
            <w:bottom w:w="0" w:type="dxa"/>
            <w:right w:w="108" w:type="dxa"/>
          </w:tblCellMar>
        </w:tblPrEx>
        <w:trPr>
          <w:trHeight w:val="1143" w:hRule="atLeast"/>
        </w:trPr>
        <w:tc>
          <w:tcPr>
            <w:tcW w:w="2765"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优惠条款及合理化建议（5分）</w:t>
            </w:r>
          </w:p>
        </w:tc>
        <w:tc>
          <w:tcPr>
            <w:tcW w:w="70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经磋商小组认可的除价格以外的优惠条款、合理化建议每采纳一条得1分，本项最多得5分。</w:t>
            </w:r>
          </w:p>
        </w:tc>
      </w:tr>
    </w:tbl>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1、评分标准仅针对供应商；</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2、本项目不接受低于成本投标报价；</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3、本项目不接受负偏离；</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4、本项目不接受不平衡报价；</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5、评分如出现小数点，则保留小数点后两位；</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6、各供应商得分为所有磋商小组成员所打分数的平均值； </w:t>
      </w:r>
    </w:p>
    <w:p>
      <w:pPr>
        <w:spacing w:line="40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、在任何评标环节中，需磋商小组就某项定性的评审结论做出表决的，由磋商小组全体成员按照少数服从多数的原则，以记名投票方式表决。</w:t>
      </w:r>
    </w:p>
    <w:p>
      <w:pPr>
        <w:pStyle w:val="8"/>
        <w:spacing w:after="0" w:line="400" w:lineRule="exact"/>
        <w:ind w:firstLine="482" w:firstLineChars="200"/>
        <w:rPr>
          <w:rFonts w:eastAsia="宋体" w:cs="宋体"/>
          <w:b/>
          <w:color w:val="auto"/>
          <w:sz w:val="24"/>
          <w:highlight w:val="none"/>
        </w:rPr>
      </w:pPr>
      <w:r>
        <w:rPr>
          <w:rFonts w:hint="eastAsia" w:eastAsia="宋体" w:cs="宋体"/>
          <w:b/>
          <w:color w:val="auto"/>
          <w:sz w:val="24"/>
          <w:highlight w:val="none"/>
          <w:lang w:val="en-US" w:eastAsia="zh-CN"/>
        </w:rPr>
        <w:t>8</w:t>
      </w:r>
      <w:r>
        <w:rPr>
          <w:rFonts w:hint="eastAsia" w:eastAsia="宋体" w:cs="宋体"/>
          <w:b/>
          <w:color w:val="auto"/>
          <w:sz w:val="24"/>
          <w:highlight w:val="none"/>
        </w:rPr>
        <w:t>、磋商小组应当根据综合评分情况，按照评审得分由高到低顺序推荐3名成交候选供应商，并编写评审报告。</w:t>
      </w:r>
    </w:p>
    <w:p>
      <w:pPr>
        <w:pStyle w:val="8"/>
        <w:spacing w:after="0" w:line="400" w:lineRule="exact"/>
        <w:ind w:firstLine="482" w:firstLineChars="200"/>
        <w:rPr>
          <w:rFonts w:eastAsia="宋体" w:cs="宋体"/>
          <w:b/>
          <w:color w:val="auto"/>
          <w:highlight w:val="none"/>
        </w:rPr>
      </w:pPr>
      <w:r>
        <w:rPr>
          <w:rFonts w:hint="eastAsia" w:eastAsia="宋体" w:cs="宋体"/>
          <w:b/>
          <w:color w:val="auto"/>
          <w:sz w:val="24"/>
          <w:highlight w:val="none"/>
          <w:lang w:val="en-US" w:eastAsia="zh-CN"/>
        </w:rPr>
        <w:t>9</w:t>
      </w:r>
      <w:r>
        <w:rPr>
          <w:rFonts w:hint="eastAsia" w:eastAsia="宋体" w:cs="宋体"/>
          <w:b/>
          <w:color w:val="auto"/>
          <w:sz w:val="24"/>
          <w:highlight w:val="none"/>
        </w:rPr>
        <w:t>、评审得分相同的，按照最后报价由低到高的顺序推荐。评审得分且最后报价相同的，按照技术指标优劣顺序推荐。</w:t>
      </w:r>
    </w:p>
    <w:p>
      <w:pPr>
        <w:rPr>
          <w:rFonts w:ascii="宋体" w:hAnsi="宋体" w:eastAsia="宋体" w:cs="宋体"/>
          <w:color w:val="auto"/>
          <w:highlight w:val="none"/>
        </w:rPr>
      </w:pPr>
    </w:p>
    <w:p>
      <w:pPr>
        <w:rPr>
          <w:rFonts w:ascii="宋体" w:hAnsi="宋体" w:eastAsia="宋体" w:cs="宋体"/>
          <w:color w:val="auto"/>
          <w:highlight w:val="none"/>
        </w:rPr>
      </w:pPr>
    </w:p>
    <w:sectPr>
      <w:headerReference r:id="rId5" w:type="first"/>
      <w:footerReference r:id="rId7" w:type="first"/>
      <w:headerReference r:id="rId4" w:type="default"/>
      <w:footerReference r:id="rId6" w:type="default"/>
      <w:pgSz w:w="11907" w:h="16840"/>
      <w:pgMar w:top="1304" w:right="1134" w:bottom="1304" w:left="1134" w:header="851" w:footer="851"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ahoma"/>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FzJfyFgIAABcEAAAOAAAAAAAA&#10;AAEAIAAAAB8BAABkcnMvZTJvRG9jLnhtbFBLBQYAAAAABgAGAFkBAACn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l1egXAgAAFw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yXV6BcCAAAXBAAADgAAAAAA&#10;AAABACAAAAAfAQAAZHJzL2Uyb0RvYy54bWxQSwUGAAAAAAYABgBZAQAAqA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375EB0"/>
    <w:multiLevelType w:val="singleLevel"/>
    <w:tmpl w:val="CA375EB0"/>
    <w:lvl w:ilvl="0" w:tentative="0">
      <w:start w:val="1"/>
      <w:numFmt w:val="decimal"/>
      <w:suff w:val="nothing"/>
      <w:lvlText w:val="%1、"/>
      <w:lvlJc w:val="left"/>
    </w:lvl>
  </w:abstractNum>
  <w:abstractNum w:abstractNumId="1">
    <w:nsid w:val="754F3B4F"/>
    <w:multiLevelType w:val="multilevel"/>
    <w:tmpl w:val="754F3B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80178"/>
    <w:rsid w:val="00014527"/>
    <w:rsid w:val="00221FEC"/>
    <w:rsid w:val="00237EEB"/>
    <w:rsid w:val="002439C4"/>
    <w:rsid w:val="00317C0B"/>
    <w:rsid w:val="003F7CB2"/>
    <w:rsid w:val="004867AD"/>
    <w:rsid w:val="005A67DB"/>
    <w:rsid w:val="009B2742"/>
    <w:rsid w:val="00B056B6"/>
    <w:rsid w:val="00B377FB"/>
    <w:rsid w:val="00BB69B4"/>
    <w:rsid w:val="00EB663D"/>
    <w:rsid w:val="00FE6429"/>
    <w:rsid w:val="00FF00C0"/>
    <w:rsid w:val="015D435C"/>
    <w:rsid w:val="01E3385D"/>
    <w:rsid w:val="01FA7377"/>
    <w:rsid w:val="02774264"/>
    <w:rsid w:val="02AD60E7"/>
    <w:rsid w:val="02D51BF8"/>
    <w:rsid w:val="02D70F4E"/>
    <w:rsid w:val="02D91963"/>
    <w:rsid w:val="02FD3A89"/>
    <w:rsid w:val="031520DF"/>
    <w:rsid w:val="03237E7A"/>
    <w:rsid w:val="03415E80"/>
    <w:rsid w:val="03601221"/>
    <w:rsid w:val="037844CA"/>
    <w:rsid w:val="04252647"/>
    <w:rsid w:val="042B4A06"/>
    <w:rsid w:val="044D7BD0"/>
    <w:rsid w:val="04C81C1A"/>
    <w:rsid w:val="04F86624"/>
    <w:rsid w:val="050A27D8"/>
    <w:rsid w:val="0511220D"/>
    <w:rsid w:val="05676719"/>
    <w:rsid w:val="056C0AFD"/>
    <w:rsid w:val="05775647"/>
    <w:rsid w:val="05B00A5C"/>
    <w:rsid w:val="05B85F7B"/>
    <w:rsid w:val="05D71DC1"/>
    <w:rsid w:val="05E359D6"/>
    <w:rsid w:val="061872AC"/>
    <w:rsid w:val="06B06C97"/>
    <w:rsid w:val="06DE413E"/>
    <w:rsid w:val="0772010F"/>
    <w:rsid w:val="0784406E"/>
    <w:rsid w:val="07AF69D9"/>
    <w:rsid w:val="07D67D6A"/>
    <w:rsid w:val="08253F82"/>
    <w:rsid w:val="08C0266E"/>
    <w:rsid w:val="08DD4965"/>
    <w:rsid w:val="095A09F4"/>
    <w:rsid w:val="09A452B8"/>
    <w:rsid w:val="09B34ABB"/>
    <w:rsid w:val="09CD0333"/>
    <w:rsid w:val="0ABC1025"/>
    <w:rsid w:val="0BAC2A85"/>
    <w:rsid w:val="0C2A60D4"/>
    <w:rsid w:val="0CD872FD"/>
    <w:rsid w:val="0D140F9C"/>
    <w:rsid w:val="0D1938DD"/>
    <w:rsid w:val="0D1D28E2"/>
    <w:rsid w:val="0D2A4E40"/>
    <w:rsid w:val="0D4D6F40"/>
    <w:rsid w:val="0D5A33ED"/>
    <w:rsid w:val="0D621E72"/>
    <w:rsid w:val="0D937EA1"/>
    <w:rsid w:val="0DC40D62"/>
    <w:rsid w:val="0E06405F"/>
    <w:rsid w:val="0F4B7B11"/>
    <w:rsid w:val="0F9F5FEE"/>
    <w:rsid w:val="0FB651BF"/>
    <w:rsid w:val="102C0515"/>
    <w:rsid w:val="102F408C"/>
    <w:rsid w:val="1060143B"/>
    <w:rsid w:val="1090588A"/>
    <w:rsid w:val="111A6C36"/>
    <w:rsid w:val="11424C95"/>
    <w:rsid w:val="114B2C5B"/>
    <w:rsid w:val="11BC35D9"/>
    <w:rsid w:val="11DC7630"/>
    <w:rsid w:val="12345EBF"/>
    <w:rsid w:val="12F418DF"/>
    <w:rsid w:val="13075040"/>
    <w:rsid w:val="133B530D"/>
    <w:rsid w:val="13465828"/>
    <w:rsid w:val="13846C33"/>
    <w:rsid w:val="13984F2C"/>
    <w:rsid w:val="144314E8"/>
    <w:rsid w:val="145255F6"/>
    <w:rsid w:val="14C04795"/>
    <w:rsid w:val="14C808E2"/>
    <w:rsid w:val="14CD5EBE"/>
    <w:rsid w:val="150D3CD3"/>
    <w:rsid w:val="151D783C"/>
    <w:rsid w:val="154F22F5"/>
    <w:rsid w:val="1697535F"/>
    <w:rsid w:val="16F163F8"/>
    <w:rsid w:val="16FE1E7D"/>
    <w:rsid w:val="17091D96"/>
    <w:rsid w:val="178037F6"/>
    <w:rsid w:val="17990BD5"/>
    <w:rsid w:val="179C42ED"/>
    <w:rsid w:val="17B668C6"/>
    <w:rsid w:val="17D7573B"/>
    <w:rsid w:val="17DA22D2"/>
    <w:rsid w:val="17F769B7"/>
    <w:rsid w:val="180D2AD4"/>
    <w:rsid w:val="185B6664"/>
    <w:rsid w:val="18872C9F"/>
    <w:rsid w:val="18D25FF1"/>
    <w:rsid w:val="19317147"/>
    <w:rsid w:val="19B5079F"/>
    <w:rsid w:val="19C56237"/>
    <w:rsid w:val="1A4751CD"/>
    <w:rsid w:val="1A5A6450"/>
    <w:rsid w:val="1B67436A"/>
    <w:rsid w:val="1BA011AE"/>
    <w:rsid w:val="1BE826E2"/>
    <w:rsid w:val="1BEC54CD"/>
    <w:rsid w:val="1C285A23"/>
    <w:rsid w:val="1C37148D"/>
    <w:rsid w:val="1C504D66"/>
    <w:rsid w:val="1CA134B7"/>
    <w:rsid w:val="1DA075AF"/>
    <w:rsid w:val="1DDA7AB1"/>
    <w:rsid w:val="1E5858DA"/>
    <w:rsid w:val="1E785A11"/>
    <w:rsid w:val="1EDA12EB"/>
    <w:rsid w:val="1F1C3E46"/>
    <w:rsid w:val="1F251DBF"/>
    <w:rsid w:val="206248A8"/>
    <w:rsid w:val="216D46F9"/>
    <w:rsid w:val="217F001B"/>
    <w:rsid w:val="22B13B68"/>
    <w:rsid w:val="23094BB4"/>
    <w:rsid w:val="23391306"/>
    <w:rsid w:val="238120E5"/>
    <w:rsid w:val="23AC3426"/>
    <w:rsid w:val="23B85436"/>
    <w:rsid w:val="248B3960"/>
    <w:rsid w:val="24E22302"/>
    <w:rsid w:val="24E273A3"/>
    <w:rsid w:val="257F6A38"/>
    <w:rsid w:val="25F668E7"/>
    <w:rsid w:val="26004140"/>
    <w:rsid w:val="2666705E"/>
    <w:rsid w:val="2688315E"/>
    <w:rsid w:val="26A05178"/>
    <w:rsid w:val="26B277E3"/>
    <w:rsid w:val="26B567F0"/>
    <w:rsid w:val="26FC7678"/>
    <w:rsid w:val="274B7B88"/>
    <w:rsid w:val="27E7332F"/>
    <w:rsid w:val="27ED4661"/>
    <w:rsid w:val="28DC50F6"/>
    <w:rsid w:val="29123BCF"/>
    <w:rsid w:val="29134C3D"/>
    <w:rsid w:val="29361A72"/>
    <w:rsid w:val="296C7845"/>
    <w:rsid w:val="297273F5"/>
    <w:rsid w:val="298755CA"/>
    <w:rsid w:val="29FB60E5"/>
    <w:rsid w:val="2A304E0B"/>
    <w:rsid w:val="2A431EC4"/>
    <w:rsid w:val="2A63105E"/>
    <w:rsid w:val="2AF920D3"/>
    <w:rsid w:val="2B112CA3"/>
    <w:rsid w:val="2B4755A4"/>
    <w:rsid w:val="2BBA5D19"/>
    <w:rsid w:val="2BDF2E66"/>
    <w:rsid w:val="2C332700"/>
    <w:rsid w:val="2C9A3FC9"/>
    <w:rsid w:val="2CE96DA4"/>
    <w:rsid w:val="2D1859E3"/>
    <w:rsid w:val="2D3221E0"/>
    <w:rsid w:val="2D952060"/>
    <w:rsid w:val="2DD42C86"/>
    <w:rsid w:val="2DE83DF9"/>
    <w:rsid w:val="2E1239CB"/>
    <w:rsid w:val="2E1A282E"/>
    <w:rsid w:val="2E6A4AD6"/>
    <w:rsid w:val="2EC53098"/>
    <w:rsid w:val="2EDE3CB3"/>
    <w:rsid w:val="2F306F1E"/>
    <w:rsid w:val="2F5B6667"/>
    <w:rsid w:val="2F6421FD"/>
    <w:rsid w:val="2F9C1B6B"/>
    <w:rsid w:val="2F9C6846"/>
    <w:rsid w:val="30446379"/>
    <w:rsid w:val="305A7FF6"/>
    <w:rsid w:val="30B355D7"/>
    <w:rsid w:val="31C86E15"/>
    <w:rsid w:val="31F350E5"/>
    <w:rsid w:val="32035E58"/>
    <w:rsid w:val="320B7609"/>
    <w:rsid w:val="3261323C"/>
    <w:rsid w:val="32693360"/>
    <w:rsid w:val="328F3110"/>
    <w:rsid w:val="330020D7"/>
    <w:rsid w:val="33267F68"/>
    <w:rsid w:val="334E1956"/>
    <w:rsid w:val="33927075"/>
    <w:rsid w:val="34AD1D71"/>
    <w:rsid w:val="34DD38C9"/>
    <w:rsid w:val="34FD04E8"/>
    <w:rsid w:val="35482C22"/>
    <w:rsid w:val="359D360F"/>
    <w:rsid w:val="36501011"/>
    <w:rsid w:val="3672404C"/>
    <w:rsid w:val="367D059B"/>
    <w:rsid w:val="36824F3D"/>
    <w:rsid w:val="36875891"/>
    <w:rsid w:val="36C223A8"/>
    <w:rsid w:val="36F65570"/>
    <w:rsid w:val="36FC4832"/>
    <w:rsid w:val="37112A42"/>
    <w:rsid w:val="37E30317"/>
    <w:rsid w:val="385C59ED"/>
    <w:rsid w:val="38723A71"/>
    <w:rsid w:val="3873650E"/>
    <w:rsid w:val="38806B37"/>
    <w:rsid w:val="39040D3F"/>
    <w:rsid w:val="39E16CEE"/>
    <w:rsid w:val="39F05BD0"/>
    <w:rsid w:val="3A68663C"/>
    <w:rsid w:val="3AA24C1E"/>
    <w:rsid w:val="3B1F7DC1"/>
    <w:rsid w:val="3B79328C"/>
    <w:rsid w:val="3C127C1C"/>
    <w:rsid w:val="3C624336"/>
    <w:rsid w:val="3C636F3F"/>
    <w:rsid w:val="3CC044E6"/>
    <w:rsid w:val="3CFD5476"/>
    <w:rsid w:val="3D8B0D3D"/>
    <w:rsid w:val="3E1325DA"/>
    <w:rsid w:val="3E28463B"/>
    <w:rsid w:val="3E616D56"/>
    <w:rsid w:val="3EBB01E3"/>
    <w:rsid w:val="3EC54B83"/>
    <w:rsid w:val="3EDF607C"/>
    <w:rsid w:val="3FB16CEA"/>
    <w:rsid w:val="3FC63129"/>
    <w:rsid w:val="3FCB0232"/>
    <w:rsid w:val="4006360D"/>
    <w:rsid w:val="401651D5"/>
    <w:rsid w:val="41420E02"/>
    <w:rsid w:val="41465C35"/>
    <w:rsid w:val="415C443F"/>
    <w:rsid w:val="418D459E"/>
    <w:rsid w:val="41A83DF0"/>
    <w:rsid w:val="421B78FC"/>
    <w:rsid w:val="4235217D"/>
    <w:rsid w:val="42757678"/>
    <w:rsid w:val="42D633B0"/>
    <w:rsid w:val="42EB0A61"/>
    <w:rsid w:val="42FC17A2"/>
    <w:rsid w:val="430223AE"/>
    <w:rsid w:val="43A52543"/>
    <w:rsid w:val="443E2396"/>
    <w:rsid w:val="45151DAE"/>
    <w:rsid w:val="452502D0"/>
    <w:rsid w:val="45305D5F"/>
    <w:rsid w:val="4568508B"/>
    <w:rsid w:val="45DF43CC"/>
    <w:rsid w:val="463C40C8"/>
    <w:rsid w:val="466948FE"/>
    <w:rsid w:val="466A47FA"/>
    <w:rsid w:val="467A00B6"/>
    <w:rsid w:val="469E3BDE"/>
    <w:rsid w:val="46CB0E81"/>
    <w:rsid w:val="47081BF8"/>
    <w:rsid w:val="4720572E"/>
    <w:rsid w:val="476F724E"/>
    <w:rsid w:val="47C04DA2"/>
    <w:rsid w:val="47F3496A"/>
    <w:rsid w:val="47FA2F52"/>
    <w:rsid w:val="48BA2599"/>
    <w:rsid w:val="48D34CAA"/>
    <w:rsid w:val="48EF3969"/>
    <w:rsid w:val="492A5A18"/>
    <w:rsid w:val="499A7112"/>
    <w:rsid w:val="49F54654"/>
    <w:rsid w:val="49F65C92"/>
    <w:rsid w:val="4A2D24A1"/>
    <w:rsid w:val="4A7D0953"/>
    <w:rsid w:val="4A836970"/>
    <w:rsid w:val="4A891857"/>
    <w:rsid w:val="4AF05B47"/>
    <w:rsid w:val="4B0C5377"/>
    <w:rsid w:val="4B244298"/>
    <w:rsid w:val="4B9C59DF"/>
    <w:rsid w:val="4BB2117D"/>
    <w:rsid w:val="4C395429"/>
    <w:rsid w:val="4C3E54EF"/>
    <w:rsid w:val="4C412EB3"/>
    <w:rsid w:val="4C690AD8"/>
    <w:rsid w:val="4D156A08"/>
    <w:rsid w:val="4D1F1248"/>
    <w:rsid w:val="4D4B2DF0"/>
    <w:rsid w:val="4D4C70B6"/>
    <w:rsid w:val="4D741B38"/>
    <w:rsid w:val="4DC80D45"/>
    <w:rsid w:val="4DE81677"/>
    <w:rsid w:val="4E3C4EEC"/>
    <w:rsid w:val="4E993A8B"/>
    <w:rsid w:val="4F3F1750"/>
    <w:rsid w:val="4F811EAE"/>
    <w:rsid w:val="4FCE112C"/>
    <w:rsid w:val="4FCF0D06"/>
    <w:rsid w:val="505E7FA8"/>
    <w:rsid w:val="50944D80"/>
    <w:rsid w:val="50C80892"/>
    <w:rsid w:val="51036B5D"/>
    <w:rsid w:val="511376DE"/>
    <w:rsid w:val="51587EBA"/>
    <w:rsid w:val="517A7FCB"/>
    <w:rsid w:val="52062968"/>
    <w:rsid w:val="520C46DB"/>
    <w:rsid w:val="52A43246"/>
    <w:rsid w:val="52BF106D"/>
    <w:rsid w:val="53550AC1"/>
    <w:rsid w:val="53574CC6"/>
    <w:rsid w:val="537E16A6"/>
    <w:rsid w:val="537E5B41"/>
    <w:rsid w:val="54086FC4"/>
    <w:rsid w:val="54684803"/>
    <w:rsid w:val="548D405B"/>
    <w:rsid w:val="55400CF5"/>
    <w:rsid w:val="55BA63B2"/>
    <w:rsid w:val="55C37CB3"/>
    <w:rsid w:val="55C64284"/>
    <w:rsid w:val="56D83147"/>
    <w:rsid w:val="57124DA0"/>
    <w:rsid w:val="57202034"/>
    <w:rsid w:val="57495F12"/>
    <w:rsid w:val="575A3CA9"/>
    <w:rsid w:val="57B64AB6"/>
    <w:rsid w:val="57C55B91"/>
    <w:rsid w:val="58A72B18"/>
    <w:rsid w:val="58CD0826"/>
    <w:rsid w:val="58FA63FB"/>
    <w:rsid w:val="59255651"/>
    <w:rsid w:val="59AF05B9"/>
    <w:rsid w:val="59BA0825"/>
    <w:rsid w:val="59DF4AE7"/>
    <w:rsid w:val="5A7B55EF"/>
    <w:rsid w:val="5A9D6478"/>
    <w:rsid w:val="5AD60976"/>
    <w:rsid w:val="5B203712"/>
    <w:rsid w:val="5BA87E55"/>
    <w:rsid w:val="5BF37585"/>
    <w:rsid w:val="5C1552F1"/>
    <w:rsid w:val="5C614060"/>
    <w:rsid w:val="5C68207E"/>
    <w:rsid w:val="5CE906F6"/>
    <w:rsid w:val="5D047427"/>
    <w:rsid w:val="5D09269A"/>
    <w:rsid w:val="5D2B45AF"/>
    <w:rsid w:val="5D871AAF"/>
    <w:rsid w:val="5DB67280"/>
    <w:rsid w:val="5E1247A7"/>
    <w:rsid w:val="5E845388"/>
    <w:rsid w:val="5F8A6578"/>
    <w:rsid w:val="5FD7652D"/>
    <w:rsid w:val="5FE677F1"/>
    <w:rsid w:val="60F60960"/>
    <w:rsid w:val="618963C6"/>
    <w:rsid w:val="61B535AB"/>
    <w:rsid w:val="61CD0CE9"/>
    <w:rsid w:val="62261657"/>
    <w:rsid w:val="6265555C"/>
    <w:rsid w:val="62F90B01"/>
    <w:rsid w:val="631010CB"/>
    <w:rsid w:val="638B556C"/>
    <w:rsid w:val="63EE475A"/>
    <w:rsid w:val="64065D48"/>
    <w:rsid w:val="6439505F"/>
    <w:rsid w:val="64643903"/>
    <w:rsid w:val="64726BDE"/>
    <w:rsid w:val="647D2537"/>
    <w:rsid w:val="64C62EF4"/>
    <w:rsid w:val="64EA6DF6"/>
    <w:rsid w:val="65713C67"/>
    <w:rsid w:val="65952A79"/>
    <w:rsid w:val="65992AD2"/>
    <w:rsid w:val="65BC69C1"/>
    <w:rsid w:val="65C07E8B"/>
    <w:rsid w:val="65ED4F24"/>
    <w:rsid w:val="67225B4A"/>
    <w:rsid w:val="67397678"/>
    <w:rsid w:val="6786022D"/>
    <w:rsid w:val="67BF5A66"/>
    <w:rsid w:val="67D76462"/>
    <w:rsid w:val="682308E2"/>
    <w:rsid w:val="68362A16"/>
    <w:rsid w:val="68DD31BC"/>
    <w:rsid w:val="690F5373"/>
    <w:rsid w:val="699177AC"/>
    <w:rsid w:val="699B344D"/>
    <w:rsid w:val="6A2B333C"/>
    <w:rsid w:val="6A2E2D4F"/>
    <w:rsid w:val="6AD723D7"/>
    <w:rsid w:val="6AE820F8"/>
    <w:rsid w:val="6B15265E"/>
    <w:rsid w:val="6B5E2C3C"/>
    <w:rsid w:val="6BBA45CA"/>
    <w:rsid w:val="6BBD1B5E"/>
    <w:rsid w:val="6C211B4E"/>
    <w:rsid w:val="6C6A1240"/>
    <w:rsid w:val="6C9D098D"/>
    <w:rsid w:val="6CEE464F"/>
    <w:rsid w:val="6D535020"/>
    <w:rsid w:val="6D7C4859"/>
    <w:rsid w:val="6DF9122F"/>
    <w:rsid w:val="6E2D3FF0"/>
    <w:rsid w:val="6E3A4597"/>
    <w:rsid w:val="6E5E00F6"/>
    <w:rsid w:val="6EA16F88"/>
    <w:rsid w:val="6EAD6DA9"/>
    <w:rsid w:val="6EAF1D3D"/>
    <w:rsid w:val="6F220C57"/>
    <w:rsid w:val="6FC46EF8"/>
    <w:rsid w:val="706D2C37"/>
    <w:rsid w:val="70BA484C"/>
    <w:rsid w:val="710C437B"/>
    <w:rsid w:val="71142EC2"/>
    <w:rsid w:val="71E33591"/>
    <w:rsid w:val="724026F9"/>
    <w:rsid w:val="72D6284A"/>
    <w:rsid w:val="72DF1E04"/>
    <w:rsid w:val="7304220A"/>
    <w:rsid w:val="736D74CC"/>
    <w:rsid w:val="73C96FE9"/>
    <w:rsid w:val="73DF0CA6"/>
    <w:rsid w:val="73F87364"/>
    <w:rsid w:val="753E52C8"/>
    <w:rsid w:val="756850F9"/>
    <w:rsid w:val="75781719"/>
    <w:rsid w:val="760B04AC"/>
    <w:rsid w:val="761D23F7"/>
    <w:rsid w:val="76A24345"/>
    <w:rsid w:val="76E8768C"/>
    <w:rsid w:val="77B82200"/>
    <w:rsid w:val="77EE1F3C"/>
    <w:rsid w:val="782F5168"/>
    <w:rsid w:val="788E6EDB"/>
    <w:rsid w:val="79563295"/>
    <w:rsid w:val="79901B5F"/>
    <w:rsid w:val="7A075E2C"/>
    <w:rsid w:val="7A855DBB"/>
    <w:rsid w:val="7AA36DAC"/>
    <w:rsid w:val="7ACF4D60"/>
    <w:rsid w:val="7AF81220"/>
    <w:rsid w:val="7B1409C4"/>
    <w:rsid w:val="7B8B6493"/>
    <w:rsid w:val="7B9B31E5"/>
    <w:rsid w:val="7BD7037E"/>
    <w:rsid w:val="7CA23F7D"/>
    <w:rsid w:val="7CA94DB7"/>
    <w:rsid w:val="7CF3369F"/>
    <w:rsid w:val="7DF60CE9"/>
    <w:rsid w:val="7DF93E1A"/>
    <w:rsid w:val="7E035155"/>
    <w:rsid w:val="7E30650A"/>
    <w:rsid w:val="7EA73E48"/>
    <w:rsid w:val="7F0306F0"/>
    <w:rsid w:val="7F035751"/>
    <w:rsid w:val="7F06536D"/>
    <w:rsid w:val="7F180178"/>
    <w:rsid w:val="7F424B5C"/>
    <w:rsid w:val="7F5C4D18"/>
    <w:rsid w:val="7F746CA9"/>
    <w:rsid w:val="7FA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3"/>
    <w:basedOn w:val="1"/>
    <w:next w:val="1"/>
    <w:semiHidden/>
    <w:unhideWhenUsed/>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5">
    <w:name w:val="caption"/>
    <w:basedOn w:val="1"/>
    <w:next w:val="1"/>
    <w:semiHidden/>
    <w:unhideWhenUsed/>
    <w:qFormat/>
    <w:uiPriority w:val="0"/>
    <w:pPr>
      <w:spacing w:before="152" w:after="160"/>
    </w:pPr>
    <w:rPr>
      <w:rFonts w:ascii="Arial" w:hAnsi="Arial" w:eastAsia="黑体" w:cs="Arial"/>
      <w:sz w:val="20"/>
      <w:szCs w:val="20"/>
    </w:rPr>
  </w:style>
  <w:style w:type="paragraph" w:styleId="6">
    <w:name w:val="toa heading"/>
    <w:basedOn w:val="1"/>
    <w:next w:val="1"/>
    <w:qFormat/>
    <w:uiPriority w:val="0"/>
    <w:pPr>
      <w:spacing w:before="120"/>
    </w:pPr>
    <w:rPr>
      <w:rFonts w:ascii="Arial" w:hAnsi="Arial"/>
      <w:sz w:val="24"/>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宋体" w:hAnsi="宋体"/>
      <w:kern w:val="0"/>
      <w:sz w:val="20"/>
    </w:rPr>
  </w:style>
  <w:style w:type="paragraph" w:styleId="9">
    <w:name w:val="Body Text Indent"/>
    <w:basedOn w:val="1"/>
    <w:qFormat/>
    <w:uiPriority w:val="0"/>
    <w:pPr>
      <w:spacing w:after="120"/>
      <w:ind w:left="420" w:leftChars="20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eastAsia="宋体"/>
    </w:rPr>
  </w:style>
  <w:style w:type="paragraph" w:styleId="12">
    <w:name w:val="Body Text Indent 2"/>
    <w:basedOn w:val="1"/>
    <w:qFormat/>
    <w:uiPriority w:val="0"/>
    <w:pPr>
      <w:spacing w:after="120" w:line="480" w:lineRule="auto"/>
      <w:ind w:left="420" w:leftChars="200"/>
    </w:pPr>
    <w:rPr>
      <w:kern w:val="0"/>
      <w:sz w:val="20"/>
    </w:rPr>
  </w:style>
  <w:style w:type="paragraph" w:styleId="13">
    <w:name w:val="footer"/>
    <w:basedOn w:val="1"/>
    <w:qFormat/>
    <w:uiPriority w:val="0"/>
    <w:pPr>
      <w:tabs>
        <w:tab w:val="center" w:pos="4153"/>
        <w:tab w:val="right" w:pos="8306"/>
      </w:tabs>
      <w:snapToGrid w:val="0"/>
      <w:jc w:val="left"/>
    </w:pPr>
    <w:rPr>
      <w:rFonts w:ascii="宋体" w:hAnsi="宋体"/>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宋体" w:hAnsi="宋体"/>
      <w:kern w:val="0"/>
      <w:sz w:val="18"/>
      <w:szCs w:val="18"/>
    </w:rPr>
  </w:style>
  <w:style w:type="paragraph" w:styleId="15">
    <w:name w:val="toc 1"/>
    <w:basedOn w:val="1"/>
    <w:next w:val="1"/>
    <w:qFormat/>
    <w:uiPriority w:val="0"/>
    <w:pPr>
      <w:spacing w:line="360" w:lineRule="auto"/>
    </w:pPr>
    <w:rPr>
      <w:sz w:val="24"/>
    </w:rPr>
  </w:style>
  <w:style w:type="paragraph" w:styleId="16">
    <w:name w:val="Body Text Indent 3"/>
    <w:basedOn w:val="1"/>
    <w:unhideWhenUsed/>
    <w:qFormat/>
    <w:uiPriority w:val="99"/>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Body Text 2"/>
    <w:basedOn w:val="1"/>
    <w:qFormat/>
    <w:uiPriority w:val="99"/>
    <w:rPr>
      <w:rFonts w:ascii="??" w:hAnsi="??"/>
      <w:sz w:val="28"/>
      <w:szCs w:val="28"/>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paragraph" w:styleId="25">
    <w:name w:val="List Paragraph"/>
    <w:basedOn w:val="1"/>
    <w:qFormat/>
    <w:uiPriority w:val="99"/>
    <w:pPr>
      <w:ind w:firstLine="420" w:firstLineChars="200"/>
    </w:pPr>
  </w:style>
  <w:style w:type="paragraph" w:customStyle="1" w:styleId="26">
    <w:name w:val="List 31"/>
    <w:basedOn w:val="1"/>
    <w:qFormat/>
    <w:uiPriority w:val="0"/>
    <w:pPr>
      <w:ind w:left="100" w:leftChars="400" w:hanging="200" w:hangingChars="200"/>
    </w:pPr>
    <w:rPr>
      <w:rFonts w:ascii="Calibri" w:hAnsi="Calibri" w:eastAsia="宋体" w:cs="Times New Roman"/>
      <w:szCs w:val="20"/>
    </w:rPr>
  </w:style>
  <w:style w:type="paragraph" w:customStyle="1" w:styleId="27">
    <w:name w:val="Body Text Indent 31"/>
    <w:basedOn w:val="1"/>
    <w:qFormat/>
    <w:uiPriority w:val="0"/>
    <w:pPr>
      <w:spacing w:line="360" w:lineRule="auto"/>
      <w:ind w:firstLine="480" w:firstLineChars="200"/>
    </w:pPr>
    <w:rPr>
      <w:rFonts w:hint="eastAsia" w:ascii="宋体" w:hAnsi="Calibri" w:eastAsia="宋体" w:cs="Times New Roman"/>
      <w:sz w:val="24"/>
      <w:szCs w:val="20"/>
    </w:rPr>
  </w:style>
  <w:style w:type="paragraph" w:customStyle="1" w:styleId="28">
    <w:name w:val="列出段落"/>
    <w:basedOn w:val="1"/>
    <w:qFormat/>
    <w:uiPriority w:val="99"/>
    <w:pPr>
      <w:ind w:firstLine="420" w:firstLineChars="200"/>
    </w:pPr>
    <w:rPr>
      <w:rFonts w:ascii="Calibri" w:hAnsi="Calibri" w:eastAsia="宋体" w:cs="Times New Roman"/>
      <w:szCs w:val="22"/>
    </w:rPr>
  </w:style>
  <w:style w:type="paragraph" w:customStyle="1" w:styleId="29">
    <w:name w:val="列出段落11"/>
    <w:basedOn w:val="1"/>
    <w:qFormat/>
    <w:uiPriority w:val="34"/>
    <w:pPr>
      <w:ind w:firstLine="420" w:firstLineChars="200"/>
    </w:pPr>
    <w:rPr>
      <w:rFonts w:ascii="Calibri" w:hAnsi="Calibri"/>
      <w:szCs w:val="22"/>
    </w:rPr>
  </w:style>
  <w:style w:type="paragraph" w:customStyle="1" w:styleId="30">
    <w:name w:val="TOA Heading1"/>
    <w:basedOn w:val="1"/>
    <w:next w:val="1"/>
    <w:qFormat/>
    <w:uiPriority w:val="0"/>
    <w:pPr>
      <w:spacing w:before="120"/>
    </w:pPr>
    <w:rPr>
      <w:rFonts w:ascii="Arial" w:hAnsi="Arial" w:eastAsia="宋体" w:cs="Times New Roman"/>
      <w:sz w:val="24"/>
      <w:szCs w:val="20"/>
    </w:rPr>
  </w:style>
  <w:style w:type="paragraph" w:customStyle="1" w:styleId="31">
    <w:name w:val="Body Text Indent1"/>
    <w:basedOn w:val="1"/>
    <w:qFormat/>
    <w:uiPriority w:val="0"/>
    <w:pPr>
      <w:ind w:firstLine="560" w:firstLineChars="200"/>
      <w:jc w:val="left"/>
    </w:pPr>
    <w:rPr>
      <w:rFonts w:hint="eastAsia" w:ascii="宋体" w:hAnsi="Calibri" w:eastAsia="宋体" w:cs="Times New Roman"/>
      <w:sz w:val="28"/>
      <w:szCs w:val="20"/>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彩色列表 - 强调文字颜色 11"/>
    <w:basedOn w:val="1"/>
    <w:qFormat/>
    <w:uiPriority w:val="0"/>
    <w:pPr>
      <w:ind w:firstLine="420" w:firstLineChars="200"/>
    </w:pPr>
    <w:rPr>
      <w:rFonts w:ascii="Calibri" w:hAnsi="Calibri"/>
      <w:szCs w:val="22"/>
    </w:rPr>
  </w:style>
  <w:style w:type="paragraph" w:customStyle="1" w:styleId="34">
    <w:name w:val="标题一"/>
    <w:basedOn w:val="3"/>
    <w:qFormat/>
    <w:uiPriority w:val="0"/>
    <w:rPr>
      <w:rFonts w:ascii="宋体" w:hAnsi="宋体" w:eastAsia="宋体"/>
      <w:sz w:val="36"/>
    </w:rPr>
  </w:style>
  <w:style w:type="paragraph" w:customStyle="1" w:styleId="35">
    <w:name w:val="正文1"/>
    <w:basedOn w:val="1"/>
    <w:qFormat/>
    <w:uiPriority w:val="0"/>
    <w:rPr>
      <w:szCs w:val="20"/>
    </w:rPr>
  </w:style>
  <w:style w:type="paragraph" w:customStyle="1" w:styleId="36">
    <w:name w:val="样式9 Char"/>
    <w:basedOn w:val="1"/>
    <w:qFormat/>
    <w:uiPriority w:val="0"/>
    <w:pPr>
      <w:spacing w:line="440" w:lineRule="exact"/>
      <w:ind w:firstLine="200" w:firstLineChars="200"/>
    </w:pPr>
    <w:rPr>
      <w:spacing w:val="6"/>
      <w:sz w:val="24"/>
    </w:rPr>
  </w:style>
  <w:style w:type="paragraph" w:customStyle="1" w:styleId="37">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43</Pages>
  <Words>3361</Words>
  <Characters>19163</Characters>
  <Lines>159</Lines>
  <Paragraphs>44</Paragraphs>
  <TotalTime>1</TotalTime>
  <ScaleCrop>false</ScaleCrop>
  <LinksUpToDate>false</LinksUpToDate>
  <CharactersWithSpaces>22480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2018-03-29T02:06:00Z</dcterms:created>
  <dc:creator>Administrator</dc:creator>
  <cp:lastModifiedBy>Administrator</cp:lastModifiedBy>
  <dcterms:modified xsi:type="dcterms:W3CDTF">2019-12-05T07:53:55Z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