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0"/>
          <w:numId w:val="0"/>
        </w:numPr>
        <w:spacing w:after="120" w:line="360" w:lineRule="auto"/>
        <w:jc w:val="center"/>
        <w:rPr>
          <w:rFonts w:hint="eastAsia" w:ascii="宋体" w:hAnsi="宋体" w:eastAsia="宋体" w:cs="宋体"/>
          <w:b/>
          <w:bCs w:val="0"/>
          <w:color w:val="auto"/>
          <w:sz w:val="36"/>
          <w:szCs w:val="52"/>
          <w:highlight w:val="none"/>
        </w:rPr>
      </w:pPr>
      <w:bookmarkStart w:id="0" w:name="_Toc18387"/>
      <w:bookmarkStart w:id="1" w:name="_Toc247096243"/>
      <w:bookmarkStart w:id="2" w:name="_Toc246996900"/>
      <w:bookmarkStart w:id="3" w:name="_Toc247085671"/>
      <w:bookmarkStart w:id="4" w:name="_Toc246996157"/>
      <w:r>
        <w:rPr>
          <w:rFonts w:hint="eastAsia" w:ascii="宋体" w:hAnsi="宋体" w:eastAsia="宋体" w:cs="宋体"/>
          <w:b/>
          <w:bCs w:val="0"/>
          <w:color w:val="auto"/>
          <w:sz w:val="36"/>
          <w:szCs w:val="52"/>
          <w:highlight w:val="none"/>
        </w:rPr>
        <w:t>竞争性磋商公告</w:t>
      </w:r>
      <w:bookmarkEnd w:id="0"/>
      <w:bookmarkEnd w:id="1"/>
      <w:bookmarkEnd w:id="2"/>
      <w:bookmarkEnd w:id="3"/>
      <w:bookmarkEnd w:id="4"/>
    </w:p>
    <w:p>
      <w:pPr>
        <w:widowControl w:val="0"/>
        <w:spacing w:line="4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济宁医学院太白湖校区配电设备故障抢修服务和春防试验项目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经有关部门批准，现对其进行竞争性磋商采购，择优选定成交供应商，有关事宜公告如下：</w:t>
      </w:r>
    </w:p>
    <w:p>
      <w:pPr>
        <w:widowControl w:val="0"/>
        <w:spacing w:line="4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一、项目基本信息</w:t>
      </w:r>
    </w:p>
    <w:p>
      <w:pPr>
        <w:widowControl w:val="0"/>
        <w:spacing w:line="4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1、项目编号：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HT-2019-CG-065 </w:t>
      </w:r>
    </w:p>
    <w:p>
      <w:pPr>
        <w:widowControl w:val="0"/>
        <w:spacing w:line="4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2、工程名称：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济宁医学院太白湖校区配电设备故障抢修服务和春防试验项目</w:t>
      </w:r>
    </w:p>
    <w:p>
      <w:pPr>
        <w:widowControl w:val="0"/>
        <w:spacing w:line="4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3、标段划分：一个标段</w:t>
      </w:r>
    </w:p>
    <w:p>
      <w:pPr>
        <w:widowControl w:val="0"/>
        <w:spacing w:line="4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4、工程概况：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本项目为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济宁医学院太白湖校区配电设备故障抢修服务和春防试验项目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，</w:t>
      </w:r>
      <w:bookmarkStart w:id="5" w:name="_GoBack"/>
      <w:bookmarkEnd w:id="5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具体内容详见项目标准和要求。</w:t>
      </w:r>
    </w:p>
    <w:p>
      <w:pPr>
        <w:widowControl w:val="0"/>
        <w:spacing w:line="4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二、供应商资格要求</w:t>
      </w:r>
    </w:p>
    <w:p>
      <w:pPr>
        <w:pStyle w:val="2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1、在中国境内注册，具有独立法人资格；</w:t>
      </w:r>
    </w:p>
    <w:p>
      <w:pPr>
        <w:pStyle w:val="2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2、供应商须具备有效的营业执照；</w:t>
      </w:r>
    </w:p>
    <w:p>
      <w:pPr>
        <w:pStyle w:val="2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3、必须具备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电力工程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</w:rPr>
        <w:instrText xml:space="preserve"> HYPERLINK "https://baike.sogou.com/lemma/ShowInnerLink.htm?lemmaId=8555739&amp;ss_c=ssc.citiao.link" \t "https://baike.sogou.com/_blank" </w:instrTex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</w:rPr>
        <w:fldChar w:fldCharType="separate"/>
      </w:r>
      <w:r>
        <w:rPr>
          <w:rStyle w:val="7"/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</w:rPr>
        <w:t>施工总承包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三级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  <w:t>及以上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及</w:t>
      </w:r>
      <w:r>
        <w:rPr>
          <w:rFonts w:hint="eastAsia" w:ascii="宋体" w:hAnsi="宋体" w:eastAsia="宋体" w:cs="宋体"/>
          <w:color w:val="auto"/>
          <w:highlight w:val="none"/>
        </w:rPr>
        <w:t>承装（修、试）五级及以上资质，并在人员、设备、资金等方面具有相应的设计能力；</w:t>
      </w:r>
    </w:p>
    <w:p>
      <w:pPr>
        <w:pStyle w:val="2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4、在经营活动中没有重大违法记录；</w:t>
      </w:r>
    </w:p>
    <w:p>
      <w:pPr>
        <w:pStyle w:val="2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5、提供的资格、资质文件和业绩情况均真实有效，具有良好的商业信誉；</w:t>
      </w:r>
    </w:p>
    <w:p>
      <w:pPr>
        <w:pStyle w:val="2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6、供应商须满足《中华人民共和国政府采购法》第22条规定；</w:t>
      </w:r>
    </w:p>
    <w:p>
      <w:pPr>
        <w:pStyle w:val="2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</w:rPr>
        <w:t>7、本项目不接受联合体投标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；</w:t>
      </w:r>
    </w:p>
    <w:p>
      <w:pPr>
        <w:pStyle w:val="2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8、资格审查方式：资格后审。</w:t>
      </w:r>
    </w:p>
    <w:p>
      <w:pPr>
        <w:widowControl w:val="0"/>
        <w:spacing w:line="4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三、报名时间、地点及需要携带的证件：</w:t>
      </w:r>
    </w:p>
    <w:p>
      <w:pPr>
        <w:widowControl/>
        <w:spacing w:line="5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有意参加本项目的供应商请于2019年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日-2019年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日（上午8:00-12:00，下午14:00-18:00）携带营业执照、资质证书、法人授权委托书及委托代理人身份证（原件）。上述资料需提供一套加盖公章的复印件到山东衡天咨询有限公司（济宁市任城大道翠都国际A座22楼）报名。</w:t>
      </w:r>
    </w:p>
    <w:p>
      <w:pPr>
        <w:widowControl w:val="0"/>
        <w:spacing w:line="4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标书费：400元/份（售后不退）</w:t>
      </w:r>
    </w:p>
    <w:p>
      <w:pPr>
        <w:widowControl w:val="0"/>
        <w:spacing w:line="4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四、发布媒介：中国采购与招标网上发布</w:t>
      </w:r>
    </w:p>
    <w:p>
      <w:pPr>
        <w:widowControl w:val="0"/>
        <w:spacing w:line="4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五、联系方式</w:t>
      </w:r>
    </w:p>
    <w:p>
      <w:pPr>
        <w:widowControl w:val="0"/>
        <w:spacing w:line="4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1、采购人：济宁医学院</w:t>
      </w:r>
    </w:p>
    <w:p>
      <w:pPr>
        <w:widowControl/>
        <w:spacing w:line="5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联 系 人：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王主任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     联系电话：0537-36161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33</w:t>
      </w:r>
    </w:p>
    <w:p>
      <w:pPr>
        <w:widowControl w:val="0"/>
        <w:spacing w:line="4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2、采购代理机构： 山东衡天咨询有限公司</w:t>
      </w:r>
    </w:p>
    <w:p>
      <w:pPr>
        <w:widowControl w:val="0"/>
        <w:spacing w:line="4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联系地址：济宁市任城大道翠都国际A座22层</w:t>
      </w:r>
    </w:p>
    <w:p>
      <w:pPr>
        <w:widowControl w:val="0"/>
        <w:spacing w:line="4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联 系 人：梁老师      </w:t>
      </w:r>
    </w:p>
    <w:p>
      <w:pPr>
        <w:widowControl w:val="0"/>
        <w:spacing w:line="4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联系电话：0537-2489666</w:t>
      </w:r>
    </w:p>
    <w:p>
      <w:pPr>
        <w:widowControl w:val="0"/>
        <w:spacing w:line="4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2019年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sectPr>
      <w:pgSz w:w="11906" w:h="16838"/>
      <w:pgMar w:top="1020" w:right="14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EF6710"/>
    <w:rsid w:val="17EF6710"/>
    <w:rsid w:val="53B111EB"/>
    <w:rsid w:val="57015320"/>
    <w:rsid w:val="7F31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/>
      <w:bCs/>
      <w:kern w:val="44"/>
      <w:sz w:val="28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2019-06-01T01:03:00Z</dcterms:created>
  <dc:creator>Administrator</dc:creator>
  <cp:lastModifiedBy>Administrator</cp:lastModifiedBy>
  <dcterms:modified xsi:type="dcterms:W3CDTF">2019-06-01T01:42:30Z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