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CFEBE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baseline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济宁医学院太白湖校区电动车门禁系统采购项目</w:t>
      </w:r>
    </w:p>
    <w:p w14:paraId="0283BC41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baseline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竞争性磋商公告</w:t>
      </w:r>
    </w:p>
    <w:tbl>
      <w:tblPr>
        <w:tblStyle w:val="9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949"/>
      </w:tblGrid>
      <w:tr w14:paraId="58CC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5FF74CAA">
            <w:pPr>
              <w:spacing w:after="0" w:line="400" w:lineRule="exact"/>
              <w:ind w:firstLine="482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项目概况：</w:t>
            </w:r>
          </w:p>
        </w:tc>
      </w:tr>
      <w:tr w14:paraId="3871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33AEDD3D">
            <w:pPr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济宁医学院太白湖校区电动车门禁系统采购项目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的潜在供应商应在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kunlun006@126.com或至昆仑项目管理（山东）有限公司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获取采购文件，并于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2025年1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:00（北京时间）前提交响应文件。</w:t>
            </w:r>
          </w:p>
        </w:tc>
      </w:tr>
    </w:tbl>
    <w:p w14:paraId="61012C1F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</w:p>
    <w:p w14:paraId="4FC29A66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JYKL-2025-0101</w:t>
      </w:r>
    </w:p>
    <w:p w14:paraId="37B31BC5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济宁医学院太白湖校区电动车门禁系统采购项目</w:t>
      </w:r>
    </w:p>
    <w:p w14:paraId="6AC132F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采购人：济宁医学院   </w:t>
      </w:r>
    </w:p>
    <w:p w14:paraId="07085F24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</w:p>
    <w:p w14:paraId="690F1E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预算金额：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5.00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</w:p>
    <w:p w14:paraId="5B5F1340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最高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限价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>5.00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万元</w:t>
      </w:r>
    </w:p>
    <w:p w14:paraId="566CBC06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9"/>
        <w:tblW w:w="504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356"/>
        <w:gridCol w:w="1228"/>
        <w:gridCol w:w="2396"/>
        <w:gridCol w:w="2098"/>
      </w:tblGrid>
      <w:tr w14:paraId="63182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6F1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4798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6A9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72C0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104A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本包预算金额（单位：万元）</w:t>
            </w:r>
          </w:p>
        </w:tc>
      </w:tr>
      <w:tr w14:paraId="4366DB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89A5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A</w:t>
            </w:r>
          </w:p>
        </w:tc>
        <w:tc>
          <w:tcPr>
            <w:tcW w:w="1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8679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济宁医学院太白湖校区电动车门禁系统采购项目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49C2">
            <w:pPr>
              <w:adjustRightInd w:val="0"/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572C">
            <w:pPr>
              <w:adjustRightInd w:val="0"/>
              <w:spacing w:after="0"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4DD5">
            <w:pPr>
              <w:spacing w:after="0"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>5.00</w:t>
            </w:r>
          </w:p>
        </w:tc>
      </w:tr>
    </w:tbl>
    <w:p w14:paraId="56168BCC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合同履行期限：详见磋商文件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9CA781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联合体报价。 </w:t>
      </w:r>
    </w:p>
    <w:p w14:paraId="29ABE7F2">
      <w:pPr>
        <w:numPr>
          <w:ilvl w:val="0"/>
          <w:numId w:val="1"/>
        </w:num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申请人的资格要求：</w:t>
      </w:r>
    </w:p>
    <w:p w14:paraId="22AC7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1、满足《中华人民共和国政府采购法》第二十二条规定； </w:t>
      </w:r>
    </w:p>
    <w:p w14:paraId="72DE2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4DA81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7ECBE713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1）在“信用中国”、中国政府采购网、“信用山东”网站中被列入失信被执行人、重大税收违法案件当事人名单、政府采购严重违法失信行为记录名单的供应商，不得参加本次政府采购活动；</w:t>
      </w:r>
    </w:p>
    <w:p w14:paraId="703E6D3B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三、获取磋商文件： </w:t>
      </w:r>
    </w:p>
    <w:p w14:paraId="056629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0分（报名截止时间）（北京时间，法定节假日除外） </w:t>
      </w:r>
    </w:p>
    <w:p w14:paraId="2769E39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kunlun006@126.com或至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领取纸质磋商文件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。 </w:t>
      </w:r>
    </w:p>
    <w:p w14:paraId="3EBDBF6B">
      <w:pPr>
        <w:spacing w:after="0"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3.方式：第一步：交纳磋商文件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工本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费，磋商文件售价：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300元/份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，磋商文件售出不退（必须公对公转账）。户名：昆仑项目管理（山东）有限公司，开户银行：中国工商银行股份有限公司济南齐鲁软件园支行，账号；1602115109000052673。 第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步：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将法人或者其他组织的营业执照等证明文件、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文件工本费网银汇款截图或银行电汇凭证扫描件（备注供应商名称），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打包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发送至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邮箱。</w:t>
      </w:r>
    </w:p>
    <w:p w14:paraId="512FE5B1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本项目实行资格后审，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成功不代表通过资格审查。 </w:t>
      </w:r>
    </w:p>
    <w:p w14:paraId="2AAE1E3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4.售价：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300元/份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3221A9D2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四、响应文件提交： </w:t>
      </w:r>
    </w:p>
    <w:p w14:paraId="75E39BE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2025年1月26日09时30分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12FC21B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0887A171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</w:p>
    <w:p w14:paraId="04E4B31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2025年1月26日09时30分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336EB66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</w:t>
      </w:r>
    </w:p>
    <w:p w14:paraId="714FDDA4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E6C0C1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自本公告发布之日起3个工作日。 </w:t>
      </w:r>
    </w:p>
    <w:p w14:paraId="203DF380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七、其他补充事宜： </w:t>
      </w:r>
    </w:p>
    <w:p w14:paraId="3F229CD4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64BD26DA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</w:p>
    <w:p w14:paraId="13DB631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5AB2E6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9E5D14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址：山东省济宁市任城区荷花路133号</w:t>
      </w:r>
    </w:p>
    <w:p w14:paraId="2AE9402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联系方式：0537-3616133</w:t>
      </w:r>
    </w:p>
    <w:p w14:paraId="79A98C6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FB1B30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515DD4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D38321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</w:t>
      </w:r>
    </w:p>
    <w:p w14:paraId="2C3001AE">
      <w:pPr>
        <w:numPr>
          <w:ilvl w:val="0"/>
          <w:numId w:val="2"/>
        </w:num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A365CFE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贺红</w:t>
      </w:r>
    </w:p>
    <w:p w14:paraId="2CC24219">
      <w:pPr>
        <w:spacing w:after="0" w:line="400" w:lineRule="exact"/>
        <w:ind w:firstLine="480" w:firstLineChars="200"/>
        <w:outlineLvl w:val="1"/>
        <w:rPr>
          <w:rStyle w:val="15"/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联系方式：0537-2616518   15020772060   18660726518 </w:t>
      </w:r>
    </w:p>
    <w:p w14:paraId="4A81878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521BB"/>
    <w:rsid w:val="0216715F"/>
    <w:rsid w:val="041651F4"/>
    <w:rsid w:val="04626648"/>
    <w:rsid w:val="063B2C83"/>
    <w:rsid w:val="07934033"/>
    <w:rsid w:val="11F27D13"/>
    <w:rsid w:val="16E33DFD"/>
    <w:rsid w:val="189B7148"/>
    <w:rsid w:val="19816FE4"/>
    <w:rsid w:val="1E9128D6"/>
    <w:rsid w:val="1F0B3904"/>
    <w:rsid w:val="1F903714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8A50319"/>
    <w:rsid w:val="3A403909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47A1A1B"/>
    <w:rsid w:val="67D52F54"/>
    <w:rsid w:val="681521BB"/>
    <w:rsid w:val="68783C73"/>
    <w:rsid w:val="6B684015"/>
    <w:rsid w:val="6C564FAB"/>
    <w:rsid w:val="73987139"/>
    <w:rsid w:val="75500052"/>
    <w:rsid w:val="766366F1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paragraph" w:styleId="4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5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1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2">
    <w:name w:val="标题 1 Char"/>
    <w:link w:val="2"/>
    <w:autoRedefine/>
    <w:qFormat/>
    <w:uiPriority w:val="0"/>
    <w:rPr>
      <w:rFonts w:ascii="Times New Roman" w:hAnsi="Times New Roman" w:eastAsia="黑体"/>
      <w:b/>
      <w:bCs/>
      <w:kern w:val="44"/>
      <w:sz w:val="44"/>
      <w:szCs w:val="44"/>
      <w:lang w:eastAsia="zh-CN"/>
    </w:rPr>
  </w:style>
  <w:style w:type="character" w:customStyle="1" w:styleId="13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4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2025-01-14T05:48:00Z</dcterms:created>
  <dc:creator>sunyue</dc:creator>
  <cp:lastModifiedBy>sunyue</cp:lastModifiedBy>
  <dcterms:modified xsi:type="dcterms:W3CDTF">2025-01-14T05:50:48Z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71E23626BDC54BDD95787010854503D3_11</vt:lpwstr>
  </property>
  <property fmtid="{D5CDD505-2E9C-101B-9397-08002B2CF9AE}" pid="4" name="KSOTemplateDocerSaveRecord">
    <vt:lpwstr>eyJoZGlkIjoiZDNkZjZhMzllODhkNzUyYzJlNDYxZmU2YTAyNGVmOGIiLCJ1c2VySWQiOiI2MTk3NDg4MzEifQ==</vt:lpwstr>
  </property>
</Properties>
</file>