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spacing w:after="120" w:line="360" w:lineRule="auto"/>
        <w:jc w:val="center"/>
        <w:rPr>
          <w:rFonts w:hint="eastAsia" w:eastAsia="宋体"/>
          <w:color w:val="auto"/>
          <w:highlight w:val="none"/>
          <w:lang w:eastAsia="zh-CN"/>
        </w:rPr>
      </w:pPr>
      <w:bookmarkStart w:id="0" w:name="_Toc246996157"/>
      <w:bookmarkStart w:id="1" w:name="_Toc18387"/>
      <w:bookmarkStart w:id="2" w:name="_Toc247085671"/>
      <w:bookmarkStart w:id="3" w:name="_Toc247096243"/>
      <w:bookmarkStart w:id="4" w:name="_Toc246996900"/>
      <w:r>
        <w:rPr>
          <w:rFonts w:hint="eastAsia"/>
          <w:color w:val="auto"/>
          <w:highlight w:val="none"/>
        </w:rPr>
        <w:t>竞争性磋商公告</w:t>
      </w:r>
      <w:bookmarkEnd w:id="0"/>
      <w:bookmarkEnd w:id="1"/>
      <w:bookmarkEnd w:id="2"/>
      <w:bookmarkEnd w:id="3"/>
      <w:bookmarkEnd w:id="4"/>
      <w:r>
        <w:rPr>
          <w:rFonts w:hint="eastAsia"/>
          <w:color w:val="auto"/>
          <w:highlight w:val="none"/>
          <w:lang w:eastAsia="zh-CN"/>
        </w:rPr>
        <w:t>（</w:t>
      </w:r>
      <w:r>
        <w:rPr>
          <w:rFonts w:hint="eastAsia"/>
          <w:color w:val="auto"/>
          <w:highlight w:val="none"/>
          <w:lang w:val="en-US" w:eastAsia="zh-CN"/>
        </w:rPr>
        <w:t>二次</w:t>
      </w:r>
      <w:r>
        <w:rPr>
          <w:rFonts w:hint="eastAsia"/>
          <w:color w:val="auto"/>
          <w:highlight w:val="none"/>
          <w:lang w:eastAsia="zh-CN"/>
        </w:rPr>
        <w:t>）</w:t>
      </w:r>
    </w:p>
    <w:p>
      <w:pPr>
        <w:spacing w:line="360" w:lineRule="auto"/>
        <w:ind w:firstLine="480" w:firstLineChars="200"/>
        <w:rPr>
          <w:rFonts w:ascii="宋体" w:hAnsi="Calibri" w:eastAsia="宋体" w:cs="宋体"/>
          <w:color w:val="auto"/>
          <w:sz w:val="24"/>
          <w:highlight w:val="none"/>
        </w:rPr>
      </w:pPr>
      <w:r>
        <w:rPr>
          <w:rFonts w:hint="eastAsia" w:ascii="宋体" w:hAnsi="Calibri" w:eastAsia="宋体" w:cs="宋体"/>
          <w:color w:val="auto"/>
          <w:sz w:val="24"/>
          <w:highlight w:val="none"/>
        </w:rPr>
        <w:t>济宁医学院太白湖校区</w:t>
      </w:r>
      <w:bookmarkStart w:id="5" w:name="_GoBack"/>
      <w:r>
        <w:rPr>
          <w:rFonts w:hint="eastAsia" w:ascii="宋体" w:hAnsi="Calibri" w:eastAsia="宋体" w:cs="宋体"/>
          <w:color w:val="auto"/>
          <w:sz w:val="24"/>
          <w:highlight w:val="none"/>
        </w:rPr>
        <w:t>读书长廊、银樱大道设计入围项目</w:t>
      </w:r>
      <w:bookmarkEnd w:id="5"/>
      <w:r>
        <w:rPr>
          <w:rFonts w:hint="eastAsia" w:ascii="宋体" w:hAnsi="Calibri" w:eastAsia="宋体" w:cs="宋体"/>
          <w:color w:val="auto"/>
          <w:sz w:val="24"/>
          <w:highlight w:val="none"/>
        </w:rPr>
        <w:t>经有关部门批准，现对其进行竞争性磋商招标，择优选定</w:t>
      </w:r>
      <w:r>
        <w:rPr>
          <w:rFonts w:hint="eastAsia" w:ascii="宋体" w:hAnsi="Calibri" w:eastAsia="宋体" w:cs="宋体"/>
          <w:color w:val="auto"/>
          <w:sz w:val="24"/>
          <w:highlight w:val="none"/>
          <w:lang w:eastAsia="zh-CN"/>
        </w:rPr>
        <w:t>设计</w:t>
      </w:r>
      <w:r>
        <w:rPr>
          <w:rFonts w:hint="eastAsia" w:ascii="宋体" w:hAnsi="Calibri" w:eastAsia="宋体" w:cs="宋体"/>
          <w:color w:val="auto"/>
          <w:sz w:val="24"/>
          <w:highlight w:val="none"/>
        </w:rPr>
        <w:t>单位，有关事宜公告如下：</w:t>
      </w:r>
    </w:p>
    <w:p>
      <w:pPr>
        <w:spacing w:line="360" w:lineRule="auto"/>
        <w:rPr>
          <w:rFonts w:ascii="宋体" w:hAnsi="Calibri" w:eastAsia="宋体" w:cs="宋体"/>
          <w:color w:val="auto"/>
          <w:sz w:val="24"/>
          <w:highlight w:val="none"/>
        </w:rPr>
      </w:pPr>
      <w:r>
        <w:rPr>
          <w:rFonts w:hint="eastAsia" w:ascii="宋体" w:hAnsi="Calibri" w:eastAsia="宋体" w:cs="宋体"/>
          <w:color w:val="auto"/>
          <w:sz w:val="24"/>
          <w:highlight w:val="none"/>
        </w:rPr>
        <w:t xml:space="preserve">一、项目基本信息 </w:t>
      </w:r>
    </w:p>
    <w:p>
      <w:pPr>
        <w:spacing w:line="360" w:lineRule="auto"/>
        <w:ind w:firstLine="480" w:firstLineChars="200"/>
        <w:rPr>
          <w:rFonts w:ascii="宋体" w:hAnsi="Calibri" w:eastAsia="宋体" w:cs="宋体"/>
          <w:color w:val="auto"/>
          <w:sz w:val="24"/>
          <w:highlight w:val="none"/>
        </w:rPr>
      </w:pPr>
      <w:r>
        <w:rPr>
          <w:rFonts w:hint="eastAsia" w:ascii="宋体" w:hAnsi="Calibri" w:eastAsia="宋体" w:cs="宋体"/>
          <w:color w:val="auto"/>
          <w:sz w:val="24"/>
          <w:highlight w:val="none"/>
        </w:rPr>
        <w:t>1、项目编号：HT-2018-CG-087</w:t>
      </w:r>
    </w:p>
    <w:p>
      <w:pPr>
        <w:spacing w:line="360" w:lineRule="auto"/>
        <w:ind w:firstLine="480" w:firstLineChars="200"/>
        <w:rPr>
          <w:rFonts w:ascii="宋体" w:hAnsi="Calibri" w:eastAsia="宋体" w:cs="宋体"/>
          <w:color w:val="auto"/>
          <w:sz w:val="24"/>
          <w:highlight w:val="none"/>
        </w:rPr>
      </w:pPr>
      <w:r>
        <w:rPr>
          <w:rFonts w:hint="eastAsia" w:ascii="宋体" w:hAnsi="Calibri" w:eastAsia="宋体" w:cs="宋体"/>
          <w:color w:val="auto"/>
          <w:sz w:val="24"/>
          <w:highlight w:val="none"/>
        </w:rPr>
        <w:t>2、工程名称：济宁医学院太白湖校区读书长廊、银樱大道设计入围项目</w:t>
      </w:r>
    </w:p>
    <w:p>
      <w:pPr>
        <w:spacing w:line="360" w:lineRule="auto"/>
        <w:ind w:firstLine="480" w:firstLineChars="200"/>
        <w:rPr>
          <w:rFonts w:ascii="宋体" w:hAnsi="Calibri" w:eastAsia="宋体" w:cs="宋体"/>
          <w:color w:val="auto"/>
          <w:sz w:val="24"/>
          <w:highlight w:val="none"/>
        </w:rPr>
      </w:pPr>
      <w:r>
        <w:rPr>
          <w:rFonts w:hint="eastAsia" w:ascii="宋体" w:hAnsi="Calibri" w:eastAsia="宋体" w:cs="宋体"/>
          <w:color w:val="auto"/>
          <w:sz w:val="24"/>
          <w:highlight w:val="none"/>
        </w:rPr>
        <w:t>3、标段划分： 一个标段</w:t>
      </w:r>
    </w:p>
    <w:p>
      <w:pPr>
        <w:spacing w:line="360" w:lineRule="auto"/>
        <w:ind w:firstLine="480" w:firstLineChars="200"/>
        <w:rPr>
          <w:rFonts w:ascii="宋体" w:hAnsi="Calibri" w:eastAsia="宋体" w:cs="宋体"/>
          <w:color w:val="auto"/>
          <w:sz w:val="24"/>
          <w:highlight w:val="none"/>
        </w:rPr>
      </w:pPr>
      <w:r>
        <w:rPr>
          <w:rFonts w:hint="eastAsia" w:ascii="宋体" w:hAnsi="Calibri" w:eastAsia="宋体" w:cs="宋体"/>
          <w:color w:val="auto"/>
          <w:sz w:val="24"/>
          <w:highlight w:val="none"/>
        </w:rPr>
        <w:t>4、工程概况：本项目为济宁医学院太白湖校区读书长廊、银樱大道设计入围项目，</w:t>
      </w:r>
      <w:r>
        <w:rPr>
          <w:rFonts w:hint="eastAsia" w:ascii="宋体" w:hAnsi="宋体"/>
          <w:b w:val="0"/>
          <w:bCs/>
          <w:color w:val="auto"/>
          <w:sz w:val="24"/>
          <w:highlight w:val="none"/>
        </w:rPr>
        <w:t>拟选取入围的机构数量为3家，再经采购人在3家入围单位中选择最优方案设计的</w:t>
      </w:r>
      <w:r>
        <w:rPr>
          <w:rFonts w:hint="eastAsia" w:ascii="宋体" w:hAnsi="宋体"/>
          <w:bCs/>
          <w:color w:val="auto"/>
          <w:sz w:val="24"/>
          <w:highlight w:val="none"/>
        </w:rPr>
        <w:t>单位进行后期施工图纸设计（含概算）。(具体详见招标内容及项目要求)。</w:t>
      </w:r>
    </w:p>
    <w:p>
      <w:pPr>
        <w:spacing w:line="360" w:lineRule="auto"/>
        <w:rPr>
          <w:rFonts w:ascii="宋体" w:hAnsi="Calibri" w:eastAsia="宋体" w:cs="宋体"/>
          <w:color w:val="auto"/>
          <w:sz w:val="24"/>
          <w:highlight w:val="none"/>
        </w:rPr>
      </w:pPr>
      <w:r>
        <w:rPr>
          <w:rFonts w:hint="eastAsia" w:ascii="宋体" w:hAnsi="Calibri" w:eastAsia="宋体" w:cs="宋体"/>
          <w:color w:val="auto"/>
          <w:sz w:val="24"/>
          <w:highlight w:val="none"/>
        </w:rPr>
        <w:t xml:space="preserve">二、供应商资格要求 </w:t>
      </w:r>
    </w:p>
    <w:p>
      <w:pPr>
        <w:spacing w:line="360" w:lineRule="auto"/>
        <w:ind w:firstLine="480" w:firstLineChars="200"/>
        <w:rPr>
          <w:rFonts w:hint="eastAsia" w:ascii="宋体" w:hAnsi="Calibri" w:eastAsia="宋体" w:cs="宋体"/>
          <w:color w:val="auto"/>
          <w:sz w:val="24"/>
          <w:highlight w:val="none"/>
        </w:rPr>
      </w:pPr>
      <w:r>
        <w:rPr>
          <w:rFonts w:hint="eastAsia" w:ascii="宋体" w:hAnsi="Calibri" w:eastAsia="宋体" w:cs="宋体"/>
          <w:color w:val="auto"/>
          <w:sz w:val="24"/>
          <w:highlight w:val="none"/>
        </w:rPr>
        <w:t>1、具备独立法人资格；</w:t>
      </w:r>
    </w:p>
    <w:p>
      <w:pPr>
        <w:spacing w:line="360" w:lineRule="auto"/>
        <w:ind w:firstLine="480" w:firstLineChars="200"/>
        <w:rPr>
          <w:rFonts w:hint="eastAsia" w:ascii="宋体" w:hAnsi="Calibri" w:eastAsia="宋体" w:cs="宋体"/>
          <w:color w:val="auto"/>
          <w:sz w:val="24"/>
          <w:highlight w:val="none"/>
        </w:rPr>
      </w:pPr>
      <w:r>
        <w:rPr>
          <w:rFonts w:hint="eastAsia" w:ascii="宋体" w:hAnsi="Calibri" w:eastAsia="宋体" w:cs="宋体"/>
          <w:color w:val="auto"/>
          <w:sz w:val="24"/>
          <w:highlight w:val="none"/>
        </w:rPr>
        <w:t>2、具备</w:t>
      </w:r>
      <w:r>
        <w:rPr>
          <w:rFonts w:hint="eastAsia" w:ascii="宋体" w:hAnsi="Calibri" w:eastAsia="宋体" w:cs="宋体"/>
          <w:color w:val="auto"/>
          <w:sz w:val="24"/>
          <w:highlight w:val="none"/>
          <w:lang w:eastAsia="zh-CN"/>
        </w:rPr>
        <w:t>风景园林工程设计</w:t>
      </w:r>
      <w:r>
        <w:rPr>
          <w:rFonts w:hint="eastAsia" w:ascii="宋体" w:hAnsi="Calibri" w:eastAsia="宋体" w:cs="宋体"/>
          <w:color w:val="auto"/>
          <w:sz w:val="24"/>
          <w:highlight w:val="none"/>
        </w:rPr>
        <w:t>专项</w:t>
      </w:r>
      <w:r>
        <w:rPr>
          <w:rFonts w:hint="eastAsia" w:ascii="宋体" w:hAnsi="Calibri" w:eastAsia="宋体" w:cs="宋体"/>
          <w:color w:val="auto"/>
          <w:sz w:val="24"/>
          <w:highlight w:val="none"/>
          <w:lang w:eastAsia="zh-CN"/>
        </w:rPr>
        <w:t>乙</w:t>
      </w:r>
      <w:r>
        <w:rPr>
          <w:rFonts w:hint="eastAsia" w:ascii="宋体" w:hAnsi="Calibri" w:eastAsia="宋体" w:cs="宋体"/>
          <w:color w:val="auto"/>
          <w:sz w:val="24"/>
          <w:highlight w:val="none"/>
        </w:rPr>
        <w:t>级（含</w:t>
      </w:r>
      <w:r>
        <w:rPr>
          <w:rFonts w:hint="eastAsia" w:ascii="宋体" w:hAnsi="Calibri" w:eastAsia="宋体" w:cs="宋体"/>
          <w:color w:val="auto"/>
          <w:sz w:val="24"/>
          <w:highlight w:val="none"/>
          <w:lang w:eastAsia="zh-CN"/>
        </w:rPr>
        <w:t>乙</w:t>
      </w:r>
      <w:r>
        <w:rPr>
          <w:rFonts w:hint="eastAsia" w:ascii="宋体" w:hAnsi="Calibri" w:eastAsia="宋体" w:cs="宋体"/>
          <w:color w:val="auto"/>
          <w:sz w:val="24"/>
          <w:highlight w:val="none"/>
        </w:rPr>
        <w:t>级）及以上资质或工程设计综合甲级资质</w:t>
      </w:r>
      <w:r>
        <w:rPr>
          <w:rFonts w:hint="eastAsia" w:ascii="宋体" w:hAnsi="Calibri" w:eastAsia="宋体" w:cs="宋体"/>
          <w:color w:val="auto"/>
          <w:sz w:val="24"/>
          <w:highlight w:val="none"/>
        </w:rPr>
        <w:t>，在设备、人员和技术等方面具备该项目的服务能力；</w:t>
      </w:r>
    </w:p>
    <w:p>
      <w:pPr>
        <w:spacing w:line="360" w:lineRule="auto"/>
        <w:ind w:firstLine="480" w:firstLineChars="200"/>
        <w:rPr>
          <w:rFonts w:hint="eastAsia" w:ascii="宋体" w:hAnsi="Calibri" w:eastAsia="宋体" w:cs="宋体"/>
          <w:color w:val="auto"/>
          <w:sz w:val="24"/>
          <w:highlight w:val="none"/>
        </w:rPr>
      </w:pPr>
      <w:r>
        <w:rPr>
          <w:rFonts w:hint="eastAsia" w:ascii="宋体" w:hAnsi="Calibri" w:eastAsia="宋体" w:cs="宋体"/>
          <w:color w:val="auto"/>
          <w:sz w:val="24"/>
          <w:highlight w:val="none"/>
        </w:rPr>
        <w:t>3、具备有效的营业执照；</w:t>
      </w:r>
    </w:p>
    <w:p>
      <w:pPr>
        <w:spacing w:line="360" w:lineRule="auto"/>
        <w:ind w:firstLine="480" w:firstLineChars="200"/>
        <w:rPr>
          <w:rFonts w:ascii="宋体" w:hAnsi="Calibri" w:eastAsia="宋体" w:cs="宋体"/>
          <w:color w:val="auto"/>
          <w:sz w:val="24"/>
          <w:highlight w:val="none"/>
        </w:rPr>
      </w:pPr>
      <w:r>
        <w:rPr>
          <w:rFonts w:hint="eastAsia" w:ascii="宋体" w:hAnsi="Calibri" w:eastAsia="宋体" w:cs="宋体"/>
          <w:color w:val="auto"/>
          <w:sz w:val="24"/>
          <w:highlight w:val="none"/>
        </w:rPr>
        <w:t>4、未被暂停或取消济宁市范围内招标项目的投标资格；</w:t>
      </w:r>
    </w:p>
    <w:p>
      <w:pPr>
        <w:spacing w:line="360" w:lineRule="auto"/>
        <w:ind w:firstLine="480" w:firstLineChars="200"/>
        <w:rPr>
          <w:rFonts w:ascii="宋体" w:hAnsi="Calibri" w:eastAsia="宋体" w:cs="宋体"/>
          <w:color w:val="auto"/>
          <w:sz w:val="24"/>
          <w:highlight w:val="none"/>
        </w:rPr>
      </w:pPr>
      <w:r>
        <w:rPr>
          <w:rFonts w:hint="eastAsia" w:ascii="宋体" w:hAnsi="Calibri" w:eastAsia="宋体" w:cs="宋体"/>
          <w:color w:val="auto"/>
          <w:sz w:val="24"/>
          <w:highlight w:val="none"/>
        </w:rPr>
        <w:t>5、供应商须满足《中华人民共和国政府采购法》第22条规定；</w:t>
      </w:r>
    </w:p>
    <w:p>
      <w:pPr>
        <w:spacing w:line="360" w:lineRule="auto"/>
        <w:ind w:firstLine="480" w:firstLineChars="200"/>
        <w:rPr>
          <w:rFonts w:ascii="宋体" w:hAnsi="Calibri" w:eastAsia="宋体" w:cs="宋体"/>
          <w:color w:val="auto"/>
          <w:sz w:val="24"/>
          <w:highlight w:val="none"/>
        </w:rPr>
      </w:pPr>
      <w:r>
        <w:rPr>
          <w:rFonts w:hint="eastAsia" w:ascii="宋体" w:hAnsi="Calibri" w:eastAsia="宋体" w:cs="宋体"/>
          <w:color w:val="auto"/>
          <w:sz w:val="24"/>
          <w:highlight w:val="none"/>
        </w:rPr>
        <w:t>6、本</w:t>
      </w:r>
      <w:r>
        <w:rPr>
          <w:rFonts w:hint="eastAsia" w:ascii="宋体" w:hAnsi="Calibri" w:eastAsia="宋体" w:cs="宋体"/>
          <w:color w:val="auto"/>
          <w:sz w:val="24"/>
          <w:highlight w:val="none"/>
          <w:lang w:eastAsia="zh-CN"/>
        </w:rPr>
        <w:t>项目</w:t>
      </w:r>
      <w:r>
        <w:rPr>
          <w:rFonts w:hint="eastAsia" w:ascii="宋体" w:hAnsi="Calibri" w:eastAsia="宋体" w:cs="宋体"/>
          <w:color w:val="auto"/>
          <w:sz w:val="24"/>
          <w:highlight w:val="none"/>
        </w:rPr>
        <w:t>不接受联合体投标；</w:t>
      </w:r>
    </w:p>
    <w:p>
      <w:pPr>
        <w:spacing w:line="360" w:lineRule="auto"/>
        <w:ind w:firstLine="480" w:firstLineChars="200"/>
        <w:rPr>
          <w:rFonts w:ascii="宋体" w:hAnsi="Calibri" w:eastAsia="宋体" w:cs="宋体"/>
          <w:color w:val="auto"/>
          <w:sz w:val="24"/>
          <w:highlight w:val="none"/>
        </w:rPr>
      </w:pPr>
      <w:r>
        <w:rPr>
          <w:rFonts w:hint="eastAsia" w:ascii="宋体" w:hAnsi="Calibri" w:eastAsia="宋体" w:cs="宋体"/>
          <w:color w:val="auto"/>
          <w:sz w:val="24"/>
          <w:highlight w:val="none"/>
        </w:rPr>
        <w:t>7、资格审查方式：资格后审；</w:t>
      </w:r>
    </w:p>
    <w:p>
      <w:pPr>
        <w:spacing w:line="360" w:lineRule="auto"/>
        <w:rPr>
          <w:rFonts w:ascii="宋体" w:hAnsi="Calibri" w:eastAsia="宋体" w:cs="宋体"/>
          <w:color w:val="auto"/>
          <w:sz w:val="24"/>
          <w:highlight w:val="none"/>
        </w:rPr>
      </w:pPr>
      <w:r>
        <w:rPr>
          <w:rFonts w:hint="eastAsia" w:ascii="宋体" w:hAnsi="Calibri" w:eastAsia="宋体" w:cs="宋体"/>
          <w:color w:val="auto"/>
          <w:sz w:val="24"/>
          <w:highlight w:val="none"/>
        </w:rPr>
        <w:t>三、报名时间、地点及需要携带的证件：</w:t>
      </w:r>
    </w:p>
    <w:p>
      <w:pPr>
        <w:spacing w:line="360" w:lineRule="auto"/>
        <w:ind w:firstLine="480" w:firstLineChars="200"/>
        <w:rPr>
          <w:rFonts w:ascii="宋体" w:hAnsi="Calibri" w:eastAsia="宋体" w:cs="宋体"/>
          <w:color w:val="auto"/>
          <w:sz w:val="24"/>
          <w:highlight w:val="none"/>
        </w:rPr>
      </w:pPr>
      <w:r>
        <w:rPr>
          <w:rFonts w:hint="eastAsia" w:ascii="宋体" w:hAnsi="Calibri" w:eastAsia="宋体" w:cs="宋体"/>
          <w:color w:val="auto"/>
          <w:sz w:val="24"/>
          <w:highlight w:val="none"/>
        </w:rPr>
        <w:t>有意参加本项目的供应商请于201</w:t>
      </w:r>
      <w:r>
        <w:rPr>
          <w:rFonts w:hint="eastAsia" w:ascii="宋体" w:cs="宋体"/>
          <w:color w:val="auto"/>
          <w:sz w:val="24"/>
          <w:highlight w:val="none"/>
        </w:rPr>
        <w:t>8</w:t>
      </w:r>
      <w:r>
        <w:rPr>
          <w:rFonts w:hint="eastAsia" w:ascii="宋体" w:hAnsi="Calibri" w:eastAsia="宋体" w:cs="宋体"/>
          <w:color w:val="auto"/>
          <w:sz w:val="24"/>
          <w:highlight w:val="none"/>
        </w:rPr>
        <w:t>年</w:t>
      </w:r>
      <w:r>
        <w:rPr>
          <w:rFonts w:hint="eastAsia" w:ascii="宋体" w:cs="宋体"/>
          <w:color w:val="auto"/>
          <w:sz w:val="24"/>
          <w:highlight w:val="none"/>
          <w:lang w:val="en-US" w:eastAsia="zh-CN"/>
        </w:rPr>
        <w:t>8</w:t>
      </w:r>
      <w:r>
        <w:rPr>
          <w:rFonts w:hint="eastAsia" w:ascii="宋体" w:hAnsi="Calibri" w:eastAsia="宋体" w:cs="宋体"/>
          <w:color w:val="auto"/>
          <w:sz w:val="24"/>
          <w:highlight w:val="none"/>
        </w:rPr>
        <w:t>月</w:t>
      </w:r>
      <w:r>
        <w:rPr>
          <w:rFonts w:hint="eastAsia" w:ascii="宋体" w:hAnsi="Calibri" w:cs="宋体"/>
          <w:color w:val="auto"/>
          <w:sz w:val="24"/>
          <w:highlight w:val="none"/>
          <w:lang w:val="en-US" w:eastAsia="zh-CN"/>
        </w:rPr>
        <w:t>4</w:t>
      </w:r>
      <w:r>
        <w:rPr>
          <w:rFonts w:hint="eastAsia" w:ascii="宋体" w:hAnsi="Calibri" w:eastAsia="宋体" w:cs="宋体"/>
          <w:color w:val="auto"/>
          <w:sz w:val="24"/>
          <w:highlight w:val="none"/>
        </w:rPr>
        <w:t>日-201</w:t>
      </w:r>
      <w:r>
        <w:rPr>
          <w:rFonts w:hint="eastAsia" w:ascii="宋体" w:cs="宋体"/>
          <w:color w:val="auto"/>
          <w:sz w:val="24"/>
          <w:highlight w:val="none"/>
        </w:rPr>
        <w:t>8</w:t>
      </w:r>
      <w:r>
        <w:rPr>
          <w:rFonts w:hint="eastAsia" w:ascii="宋体" w:hAnsi="Calibri" w:eastAsia="宋体" w:cs="宋体"/>
          <w:color w:val="auto"/>
          <w:sz w:val="24"/>
          <w:highlight w:val="none"/>
        </w:rPr>
        <w:t>年</w:t>
      </w:r>
      <w:r>
        <w:rPr>
          <w:rFonts w:hint="eastAsia" w:ascii="宋体" w:cs="宋体"/>
          <w:color w:val="auto"/>
          <w:sz w:val="24"/>
          <w:highlight w:val="none"/>
          <w:lang w:val="en-US" w:eastAsia="zh-CN"/>
        </w:rPr>
        <w:t>8</w:t>
      </w:r>
      <w:r>
        <w:rPr>
          <w:rFonts w:hint="eastAsia" w:ascii="宋体" w:hAnsi="Calibri" w:eastAsia="宋体" w:cs="宋体"/>
          <w:color w:val="auto"/>
          <w:sz w:val="24"/>
          <w:highlight w:val="none"/>
        </w:rPr>
        <w:t>月</w:t>
      </w:r>
      <w:r>
        <w:rPr>
          <w:rFonts w:hint="eastAsia" w:ascii="宋体" w:hAnsi="Calibri" w:cs="宋体"/>
          <w:color w:val="auto"/>
          <w:sz w:val="24"/>
          <w:highlight w:val="none"/>
          <w:lang w:val="en-US" w:eastAsia="zh-CN"/>
        </w:rPr>
        <w:t>10</w:t>
      </w:r>
      <w:r>
        <w:rPr>
          <w:rFonts w:hint="eastAsia" w:ascii="宋体" w:hAnsi="Calibri" w:eastAsia="宋体" w:cs="宋体"/>
          <w:color w:val="auto"/>
          <w:sz w:val="24"/>
          <w:highlight w:val="none"/>
        </w:rPr>
        <w:t>日（上午8:</w:t>
      </w:r>
      <w:r>
        <w:rPr>
          <w:rFonts w:hint="eastAsia" w:ascii="宋体" w:hAnsi="Calibri" w:eastAsia="宋体" w:cs="宋体"/>
          <w:color w:val="auto"/>
          <w:sz w:val="24"/>
          <w:highlight w:val="none"/>
          <w:lang w:val="en-US" w:eastAsia="zh-CN"/>
        </w:rPr>
        <w:t>0</w:t>
      </w:r>
      <w:r>
        <w:rPr>
          <w:rFonts w:hint="eastAsia" w:ascii="宋体" w:hAnsi="Calibri" w:eastAsia="宋体" w:cs="宋体"/>
          <w:color w:val="auto"/>
          <w:sz w:val="24"/>
          <w:highlight w:val="none"/>
        </w:rPr>
        <w:t>0-1</w:t>
      </w:r>
      <w:r>
        <w:rPr>
          <w:rFonts w:hint="eastAsia" w:ascii="宋体" w:hAnsi="Calibri" w:eastAsia="宋体" w:cs="宋体"/>
          <w:color w:val="auto"/>
          <w:sz w:val="24"/>
          <w:highlight w:val="none"/>
          <w:lang w:val="en-US" w:eastAsia="zh-CN"/>
        </w:rPr>
        <w:t>2</w:t>
      </w:r>
      <w:r>
        <w:rPr>
          <w:rFonts w:hint="eastAsia" w:ascii="宋体" w:hAnsi="Calibri" w:eastAsia="宋体" w:cs="宋体"/>
          <w:color w:val="auto"/>
          <w:sz w:val="24"/>
          <w:highlight w:val="none"/>
        </w:rPr>
        <w:t>:</w:t>
      </w:r>
      <w:r>
        <w:rPr>
          <w:rFonts w:hint="eastAsia" w:ascii="宋体" w:hAnsi="Calibri" w:eastAsia="宋体" w:cs="宋体"/>
          <w:color w:val="auto"/>
          <w:sz w:val="24"/>
          <w:highlight w:val="none"/>
          <w:lang w:val="en-US" w:eastAsia="zh-CN"/>
        </w:rPr>
        <w:t>0</w:t>
      </w:r>
      <w:r>
        <w:rPr>
          <w:rFonts w:hint="eastAsia" w:ascii="宋体" w:hAnsi="Calibri" w:eastAsia="宋体" w:cs="宋体"/>
          <w:color w:val="auto"/>
          <w:sz w:val="24"/>
          <w:highlight w:val="none"/>
        </w:rPr>
        <w:t>0，下午14:00-1</w:t>
      </w:r>
      <w:r>
        <w:rPr>
          <w:rFonts w:hint="eastAsia" w:ascii="宋体" w:hAnsi="Calibri" w:eastAsia="宋体" w:cs="宋体"/>
          <w:color w:val="auto"/>
          <w:sz w:val="24"/>
          <w:highlight w:val="none"/>
          <w:lang w:val="en-US" w:eastAsia="zh-CN"/>
        </w:rPr>
        <w:t>8</w:t>
      </w:r>
      <w:r>
        <w:rPr>
          <w:rFonts w:hint="eastAsia" w:ascii="宋体" w:hAnsi="Calibri" w:eastAsia="宋体" w:cs="宋体"/>
          <w:color w:val="auto"/>
          <w:sz w:val="24"/>
          <w:highlight w:val="none"/>
        </w:rPr>
        <w:t>:00）携带营业执照副本、资质证书、法人授权委托书及委托代理人身份证（原件）。上述资料还需提供一套原件或加盖公章的复印件到山东衡天咨询有限公司（济宁市任城大道翠都国际A座22楼）报名。</w:t>
      </w:r>
    </w:p>
    <w:p>
      <w:pPr>
        <w:spacing w:line="360" w:lineRule="auto"/>
        <w:ind w:firstLine="480" w:firstLineChars="200"/>
        <w:rPr>
          <w:rFonts w:ascii="宋体" w:hAnsi="Calibri" w:eastAsia="宋体" w:cs="宋体"/>
          <w:color w:val="auto"/>
          <w:sz w:val="24"/>
          <w:highlight w:val="none"/>
        </w:rPr>
      </w:pPr>
      <w:r>
        <w:rPr>
          <w:rFonts w:hint="eastAsia" w:ascii="宋体" w:hAnsi="Calibri" w:eastAsia="宋体" w:cs="宋体"/>
          <w:color w:val="auto"/>
          <w:sz w:val="24"/>
          <w:highlight w:val="none"/>
        </w:rPr>
        <w:t>标书费：300元</w:t>
      </w:r>
      <w:r>
        <w:rPr>
          <w:rFonts w:hint="eastAsia" w:ascii="宋体" w:hAnsi="宋体" w:eastAsia="宋体" w:cs="宋体"/>
          <w:b w:val="0"/>
          <w:i w:val="0"/>
          <w:caps w:val="0"/>
          <w:color w:val="auto"/>
          <w:spacing w:val="0"/>
          <w:sz w:val="24"/>
          <w:szCs w:val="24"/>
        </w:rPr>
        <w:t>/份</w:t>
      </w:r>
      <w:r>
        <w:rPr>
          <w:rFonts w:hint="eastAsia" w:ascii="宋体" w:hAnsi="Calibri" w:eastAsia="宋体" w:cs="宋体"/>
          <w:color w:val="auto"/>
          <w:sz w:val="24"/>
          <w:highlight w:val="none"/>
        </w:rPr>
        <w:t>（售后不退）</w:t>
      </w:r>
    </w:p>
    <w:p>
      <w:pPr>
        <w:spacing w:line="360" w:lineRule="auto"/>
        <w:rPr>
          <w:rFonts w:ascii="宋体" w:hAnsi="Calibri" w:eastAsia="宋体" w:cs="宋体"/>
          <w:color w:val="auto"/>
          <w:sz w:val="24"/>
          <w:highlight w:val="none"/>
        </w:rPr>
      </w:pPr>
      <w:r>
        <w:rPr>
          <w:rFonts w:hint="eastAsia" w:ascii="宋体" w:hAnsi="Calibri" w:eastAsia="宋体" w:cs="宋体"/>
          <w:color w:val="auto"/>
          <w:sz w:val="24"/>
          <w:highlight w:val="none"/>
        </w:rPr>
        <w:t>四、发布媒介：中国采购与招标网上发布</w:t>
      </w:r>
    </w:p>
    <w:p>
      <w:pPr>
        <w:spacing w:line="360" w:lineRule="auto"/>
        <w:rPr>
          <w:rFonts w:ascii="宋体" w:hAnsi="Calibri" w:eastAsia="宋体" w:cs="宋体"/>
          <w:color w:val="auto"/>
          <w:sz w:val="24"/>
          <w:highlight w:val="none"/>
        </w:rPr>
      </w:pPr>
      <w:r>
        <w:rPr>
          <w:rFonts w:hint="eastAsia" w:ascii="宋体" w:hAnsi="Calibri" w:eastAsia="宋体" w:cs="宋体"/>
          <w:color w:val="auto"/>
          <w:sz w:val="24"/>
          <w:highlight w:val="none"/>
        </w:rPr>
        <w:t>五、联系方式</w:t>
      </w:r>
    </w:p>
    <w:p>
      <w:pPr>
        <w:spacing w:line="360" w:lineRule="auto"/>
        <w:ind w:firstLine="480" w:firstLineChars="200"/>
        <w:rPr>
          <w:rFonts w:hint="eastAsia" w:ascii="宋体" w:hAnsi="Calibri" w:eastAsia="宋体" w:cs="宋体"/>
          <w:color w:val="auto"/>
          <w:sz w:val="24"/>
          <w:highlight w:val="none"/>
        </w:rPr>
      </w:pPr>
      <w:r>
        <w:rPr>
          <w:rFonts w:hint="eastAsia" w:ascii="宋体" w:hAnsi="Calibri" w:eastAsia="宋体" w:cs="宋体"/>
          <w:color w:val="auto"/>
          <w:sz w:val="24"/>
          <w:highlight w:val="none"/>
        </w:rPr>
        <w:t>1、采购人：济宁医学院</w:t>
      </w:r>
    </w:p>
    <w:p>
      <w:pPr>
        <w:spacing w:line="360" w:lineRule="auto"/>
        <w:ind w:firstLine="480" w:firstLineChars="200"/>
        <w:rPr>
          <w:rFonts w:hint="eastAsia" w:ascii="宋体" w:hAnsi="Calibri" w:eastAsia="宋体" w:cs="宋体"/>
          <w:color w:val="auto"/>
          <w:sz w:val="24"/>
          <w:highlight w:val="none"/>
        </w:rPr>
      </w:pPr>
      <w:r>
        <w:rPr>
          <w:rFonts w:hint="eastAsia" w:ascii="宋体" w:hAnsi="Calibri" w:eastAsia="宋体" w:cs="宋体"/>
          <w:color w:val="auto"/>
          <w:sz w:val="24"/>
          <w:highlight w:val="none"/>
        </w:rPr>
        <w:t>联 系 人：</w:t>
      </w:r>
      <w:r>
        <w:rPr>
          <w:rFonts w:hint="eastAsia" w:ascii="宋体" w:hAnsi="Calibri" w:eastAsia="宋体" w:cs="宋体"/>
          <w:color w:val="auto"/>
          <w:sz w:val="24"/>
          <w:highlight w:val="none"/>
          <w:lang w:eastAsia="zh-CN"/>
        </w:rPr>
        <w:t>杨科长</w:t>
      </w:r>
      <w:r>
        <w:rPr>
          <w:rFonts w:hint="eastAsia" w:ascii="宋体" w:hAnsi="Calibri" w:eastAsia="宋体" w:cs="宋体"/>
          <w:color w:val="auto"/>
          <w:sz w:val="24"/>
          <w:highlight w:val="none"/>
        </w:rPr>
        <w:t xml:space="preserve">     联系电话：0537-3616129</w:t>
      </w:r>
    </w:p>
    <w:p>
      <w:pPr>
        <w:spacing w:line="360" w:lineRule="auto"/>
        <w:ind w:firstLine="480" w:firstLineChars="200"/>
        <w:rPr>
          <w:rFonts w:hint="eastAsia" w:ascii="宋体" w:hAnsi="Calibri" w:eastAsia="宋体" w:cs="宋体"/>
          <w:color w:val="auto"/>
          <w:sz w:val="24"/>
          <w:highlight w:val="none"/>
        </w:rPr>
      </w:pPr>
      <w:r>
        <w:rPr>
          <w:rFonts w:hint="eastAsia" w:ascii="宋体" w:hAnsi="Calibri" w:eastAsia="宋体" w:cs="宋体"/>
          <w:color w:val="auto"/>
          <w:sz w:val="24"/>
          <w:highlight w:val="none"/>
        </w:rPr>
        <w:t>2、采购代理机构： 山东衡天咨询有限公司</w:t>
      </w:r>
    </w:p>
    <w:p>
      <w:pPr>
        <w:spacing w:line="360" w:lineRule="auto"/>
        <w:ind w:firstLine="480" w:firstLineChars="200"/>
        <w:rPr>
          <w:rFonts w:hint="eastAsia" w:ascii="宋体" w:hAnsi="Calibri" w:eastAsia="宋体" w:cs="宋体"/>
          <w:color w:val="auto"/>
          <w:sz w:val="24"/>
          <w:highlight w:val="none"/>
        </w:rPr>
      </w:pPr>
      <w:r>
        <w:rPr>
          <w:rFonts w:hint="eastAsia" w:ascii="宋体" w:hAnsi="Calibri" w:eastAsia="宋体" w:cs="宋体"/>
          <w:color w:val="auto"/>
          <w:sz w:val="24"/>
          <w:highlight w:val="none"/>
        </w:rPr>
        <w:t>联系地址：济宁市任城大道翠都国际A座22层</w:t>
      </w:r>
    </w:p>
    <w:p>
      <w:pPr>
        <w:spacing w:line="360" w:lineRule="auto"/>
        <w:ind w:firstLine="480" w:firstLineChars="200"/>
        <w:rPr>
          <w:rFonts w:hint="eastAsia" w:ascii="宋体" w:hAnsi="Calibri" w:eastAsia="宋体" w:cs="宋体"/>
          <w:color w:val="auto"/>
          <w:sz w:val="24"/>
          <w:highlight w:val="none"/>
        </w:rPr>
      </w:pPr>
      <w:r>
        <w:rPr>
          <w:rFonts w:hint="eastAsia" w:ascii="宋体" w:hAnsi="Calibri" w:eastAsia="宋体" w:cs="宋体"/>
          <w:color w:val="auto"/>
          <w:sz w:val="24"/>
          <w:highlight w:val="none"/>
        </w:rPr>
        <w:t>联 系 人： 梁老师   张老师</w:t>
      </w:r>
    </w:p>
    <w:p>
      <w:pPr>
        <w:spacing w:line="360" w:lineRule="auto"/>
        <w:ind w:firstLine="480" w:firstLineChars="200"/>
        <w:rPr>
          <w:rFonts w:ascii="宋体" w:hAnsi="Calibri" w:eastAsia="宋体" w:cs="宋体"/>
          <w:color w:val="auto"/>
          <w:sz w:val="24"/>
          <w:highlight w:val="none"/>
        </w:rPr>
      </w:pPr>
      <w:r>
        <w:rPr>
          <w:rFonts w:hint="eastAsia" w:ascii="宋体" w:hAnsi="Calibri" w:eastAsia="宋体" w:cs="宋体"/>
          <w:color w:val="auto"/>
          <w:sz w:val="24"/>
          <w:highlight w:val="none"/>
        </w:rPr>
        <w:t>联系电话：0537-2489666、18953770013、</w:t>
      </w:r>
      <w:r>
        <w:rPr>
          <w:rFonts w:hint="eastAsia" w:ascii="宋体" w:hAnsi="Calibri" w:cs="宋体"/>
          <w:color w:val="auto"/>
          <w:sz w:val="24"/>
          <w:highlight w:val="none"/>
          <w:lang w:eastAsia="zh-CN"/>
        </w:rPr>
        <w:t>15065373260</w:t>
      </w:r>
      <w:r>
        <w:rPr>
          <w:rFonts w:hint="eastAsia" w:ascii="宋体" w:hAnsi="Calibri" w:eastAsia="宋体" w:cs="宋体"/>
          <w:color w:val="auto"/>
          <w:sz w:val="24"/>
          <w:highlight w:val="none"/>
        </w:rPr>
        <w:t xml:space="preserve">                </w:t>
      </w:r>
    </w:p>
    <w:p>
      <w:pPr>
        <w:spacing w:line="360" w:lineRule="auto"/>
        <w:jc w:val="right"/>
        <w:rPr>
          <w:rFonts w:ascii="宋体" w:hAnsi="Calibri" w:eastAsia="宋体" w:cs="宋体"/>
          <w:color w:val="auto"/>
          <w:sz w:val="24"/>
          <w:highlight w:val="none"/>
        </w:rPr>
      </w:pPr>
    </w:p>
    <w:p>
      <w:pPr>
        <w:jc w:val="right"/>
        <w:rPr>
          <w:color w:val="auto"/>
        </w:rPr>
      </w:pPr>
      <w:r>
        <w:rPr>
          <w:rFonts w:hint="eastAsia" w:ascii="宋体" w:hAnsi="Calibri" w:eastAsia="宋体" w:cs="宋体"/>
          <w:color w:val="auto"/>
          <w:sz w:val="24"/>
          <w:highlight w:val="none"/>
        </w:rPr>
        <w:t>201</w:t>
      </w:r>
      <w:r>
        <w:rPr>
          <w:rFonts w:hint="eastAsia" w:ascii="宋体" w:cs="宋体"/>
          <w:color w:val="auto"/>
          <w:sz w:val="24"/>
          <w:highlight w:val="none"/>
        </w:rPr>
        <w:t>8</w:t>
      </w:r>
      <w:r>
        <w:rPr>
          <w:rFonts w:hint="eastAsia" w:ascii="宋体" w:hAnsi="Calibri" w:eastAsia="宋体" w:cs="宋体"/>
          <w:color w:val="auto"/>
          <w:sz w:val="24"/>
          <w:highlight w:val="none"/>
        </w:rPr>
        <w:t>年</w:t>
      </w:r>
      <w:r>
        <w:rPr>
          <w:rFonts w:hint="eastAsia" w:ascii="宋体" w:cs="宋体"/>
          <w:color w:val="auto"/>
          <w:sz w:val="24"/>
          <w:highlight w:val="none"/>
          <w:lang w:val="en-US" w:eastAsia="zh-CN"/>
        </w:rPr>
        <w:t>8</w:t>
      </w:r>
      <w:r>
        <w:rPr>
          <w:rFonts w:hint="eastAsia" w:ascii="宋体" w:hAnsi="Calibri" w:eastAsia="宋体" w:cs="宋体"/>
          <w:color w:val="auto"/>
          <w:sz w:val="24"/>
          <w:highlight w:val="none"/>
        </w:rPr>
        <w:t>月</w:t>
      </w:r>
      <w:r>
        <w:rPr>
          <w:rFonts w:hint="eastAsia" w:ascii="宋体" w:hAnsi="Calibri" w:cs="宋体"/>
          <w:color w:val="auto"/>
          <w:sz w:val="24"/>
          <w:highlight w:val="none"/>
          <w:lang w:val="en-US" w:eastAsia="zh-CN"/>
        </w:rPr>
        <w:t>4</w:t>
      </w:r>
      <w:r>
        <w:rPr>
          <w:rFonts w:hint="eastAsia" w:ascii="宋体" w:hAnsi="Calibri" w:eastAsia="宋体" w:cs="宋体"/>
          <w:color w:val="auto"/>
          <w:sz w:val="24"/>
          <w:highlight w:val="none"/>
        </w:rPr>
        <w:t>日</w:t>
      </w:r>
    </w:p>
    <w:p>
      <w:pPr>
        <w:rPr>
          <w:color w:val="auto"/>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15A0F"/>
    <w:rsid w:val="39515A0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2018-08-04T03:07:00Z</dcterms:created>
  <dc:creator>Administrator</dc:creator>
  <cp:lastModifiedBy>Administrator</cp:lastModifiedBy>
  <dcterms:modified xsi:type="dcterms:W3CDTF">2018-08-04T03:11:14Z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