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黑体" w:cs="Arial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黑体" w:cs="Arial"/>
          <w:b/>
          <w:color w:val="auto"/>
          <w:sz w:val="44"/>
          <w:szCs w:val="44"/>
          <w:highlight w:val="none"/>
          <w:lang w:eastAsia="zh-CN"/>
        </w:rPr>
        <w:t>济宁医学院科研设备采购项目</w:t>
      </w:r>
      <w:bookmarkStart w:id="0" w:name="_GoBack"/>
      <w:bookmarkEnd w:id="0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Style w:val="8"/>
          <w:rFonts w:hint="eastAsia"/>
          <w:b/>
          <w:bCs/>
          <w:color w:val="auto"/>
          <w:highlight w:val="none"/>
        </w:rPr>
        <w:t>竞争性磋商公告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济宁医学院科研设备采购项目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7月15日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09: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JYKL-2022-0614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济宁医学院科研设备采购项目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13.4998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13.4998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万元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5"/>
        <w:tblW w:w="47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32"/>
        <w:gridCol w:w="2528"/>
        <w:gridCol w:w="968"/>
        <w:gridCol w:w="303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22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63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4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济宁医学院科研设备采购项目</w:t>
            </w:r>
          </w:p>
        </w:tc>
        <w:tc>
          <w:tcPr>
            <w:tcW w:w="522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13.4998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日至2022年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日17时00分，每天上午08:30至12:00，下午1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:00至17:00（北京时间，法定节假日除外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供应商将营业执照、授权委托书及被授权人身份证、联系人、联系方式及标书费转账凭证扫描件打包（以项目编号+包号+公司名称命名）发送至kunlun006@126.com，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1.截止时间：</w:t>
      </w: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日9: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1.开启时间：</w:t>
      </w: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日9: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2.开启地点：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孙越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rPr>
          <w:rFonts w:hint="eastAsia" w:ascii="宋体" w:hAnsi="宋体" w:eastAsia="黑体" w:cs="Arial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1C6E7D53"/>
    <w:rsid w:val="1C6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4"/>
    <w:qFormat/>
    <w:uiPriority w:val="0"/>
    <w:rPr>
      <w:rFonts w:ascii="Arial" w:hAnsi="Arial" w:eastAsia="黑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1263</Characters>
  <Lines>0</Lines>
  <Paragraphs>0</Paragraphs>
  <TotalTime>1</TotalTime>
  <ScaleCrop>false</ScaleCrop>
  <LinksUpToDate>false</LinksUpToDate>
  <CharactersWithSpaces>1559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2022-07-04T08:44:00Z</dcterms:created>
  <dc:creator>寶賀。</dc:creator>
  <cp:lastModifiedBy>寶賀。</cp:lastModifiedBy>
  <dcterms:modified xsi:type="dcterms:W3CDTF">2022-07-04T08:46:22Z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0B7C9C594C5B4FC3B1093F7545E25A22</vt:lpwstr>
  </property>
</Properties>
</file>