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
          <w:tab w:val="left" w:pos="5481"/>
          <w:tab w:val="left" w:pos="5859"/>
        </w:tabs>
        <w:wordWrap w:val="0"/>
        <w:spacing w:line="240" w:lineRule="atLeast"/>
        <w:jc w:val="right"/>
        <w:outlineLvl w:val="0"/>
        <w:rPr>
          <w:rFonts w:ascii="宋体" w:hAnsi="宋体" w:eastAsia="宋体" w:cs="宋体"/>
          <w:b/>
          <w:color w:val="auto"/>
          <w:sz w:val="44"/>
          <w:szCs w:val="44"/>
          <w:highlight w:val="none"/>
        </w:rPr>
      </w:pPr>
      <w:bookmarkStart w:id="0" w:name="_Toc443898901"/>
    </w:p>
    <w:p>
      <w:pPr>
        <w:pStyle w:val="25"/>
        <w:ind w:firstLine="883"/>
        <w:rPr>
          <w:rFonts w:eastAsia="宋体"/>
          <w:b/>
          <w:color w:val="auto"/>
          <w:sz w:val="44"/>
          <w:szCs w:val="44"/>
          <w:highlight w:val="none"/>
        </w:rPr>
      </w:pPr>
    </w:p>
    <w:p>
      <w:pPr>
        <w:pStyle w:val="25"/>
        <w:ind w:firstLine="883"/>
        <w:rPr>
          <w:rFonts w:eastAsia="宋体"/>
          <w:b/>
          <w:color w:val="auto"/>
          <w:sz w:val="44"/>
          <w:szCs w:val="44"/>
          <w:highlight w:val="none"/>
        </w:rPr>
      </w:pPr>
    </w:p>
    <w:p>
      <w:pPr>
        <w:spacing w:line="360" w:lineRule="auto"/>
        <w:jc w:val="center"/>
        <w:rPr>
          <w:rFonts w:ascii="宋体" w:hAnsi="宋体" w:eastAsia="宋体" w:cs="宋体"/>
          <w:b/>
          <w:color w:val="auto"/>
          <w:sz w:val="52"/>
          <w:szCs w:val="52"/>
          <w:highlight w:val="none"/>
        </w:rPr>
      </w:pPr>
      <w:r>
        <w:rPr>
          <w:rFonts w:hint="eastAsia" w:ascii="宋体" w:hAnsi="宋体" w:eastAsia="宋体" w:cs="宋体"/>
          <w:b/>
          <w:color w:val="auto"/>
          <w:sz w:val="52"/>
          <w:szCs w:val="52"/>
          <w:highlight w:val="none"/>
        </w:rPr>
        <w:t>济宁医学院太白湖校区消防系统维保、零星消防工程施工服务项目（B包）</w:t>
      </w:r>
    </w:p>
    <w:p>
      <w:pPr>
        <w:spacing w:line="360" w:lineRule="auto"/>
        <w:rPr>
          <w:rFonts w:ascii="宋体" w:hAnsi="宋体" w:eastAsia="宋体" w:cs="宋体"/>
          <w:b/>
          <w:color w:val="auto"/>
          <w:sz w:val="24"/>
          <w:highlight w:val="none"/>
        </w:rPr>
      </w:pPr>
    </w:p>
    <w:p>
      <w:pPr>
        <w:pStyle w:val="25"/>
        <w:rPr>
          <w:color w:val="auto"/>
          <w:highlight w:val="none"/>
        </w:rPr>
      </w:pPr>
    </w:p>
    <w:p>
      <w:pPr>
        <w:pStyle w:val="25"/>
        <w:ind w:firstLine="0" w:firstLineChars="0"/>
        <w:rPr>
          <w:color w:val="auto"/>
          <w:highlight w:val="none"/>
        </w:rPr>
      </w:pPr>
    </w:p>
    <w:p>
      <w:pPr>
        <w:spacing w:line="360" w:lineRule="auto"/>
        <w:jc w:val="center"/>
        <w:rPr>
          <w:rFonts w:ascii="宋体" w:hAnsi="宋体" w:eastAsia="宋体" w:cs="宋体"/>
          <w:b/>
          <w:color w:val="auto"/>
          <w:sz w:val="96"/>
          <w:szCs w:val="144"/>
          <w:highlight w:val="none"/>
        </w:rPr>
      </w:pPr>
      <w:r>
        <w:rPr>
          <w:rFonts w:hint="eastAsia" w:ascii="宋体" w:hAnsi="宋体" w:eastAsia="宋体" w:cs="宋体"/>
          <w:b/>
          <w:color w:val="auto"/>
          <w:sz w:val="52"/>
          <w:szCs w:val="52"/>
          <w:highlight w:val="none"/>
        </w:rPr>
        <w:t>竞争性磋商文件</w:t>
      </w:r>
    </w:p>
    <w:p>
      <w:pPr>
        <w:widowControl/>
        <w:spacing w:line="360" w:lineRule="auto"/>
        <w:jc w:val="center"/>
        <w:rPr>
          <w:rFonts w:ascii="宋体" w:hAnsi="宋体" w:eastAsia="宋体" w:cs="宋体"/>
          <w:b/>
          <w:color w:val="auto"/>
          <w:sz w:val="24"/>
          <w:highlight w:val="none"/>
        </w:rPr>
      </w:pPr>
    </w:p>
    <w:p>
      <w:pPr>
        <w:widowControl/>
        <w:spacing w:line="360" w:lineRule="auto"/>
        <w:jc w:val="center"/>
        <w:rPr>
          <w:rFonts w:ascii="宋体" w:hAnsi="宋体" w:eastAsia="宋体" w:cs="宋体"/>
          <w:b/>
          <w:bCs/>
          <w:color w:val="auto"/>
          <w:sz w:val="100"/>
          <w:szCs w:val="110"/>
          <w:highlight w:val="none"/>
        </w:rPr>
      </w:pPr>
      <w:r>
        <w:rPr>
          <w:rFonts w:hint="eastAsia" w:ascii="宋体" w:hAnsi="宋体" w:eastAsia="宋体" w:cs="宋体"/>
          <w:b/>
          <w:color w:val="auto"/>
          <w:sz w:val="36"/>
          <w:szCs w:val="36"/>
          <w:highlight w:val="none"/>
        </w:rPr>
        <w:t>项目编号:</w:t>
      </w:r>
      <w:r>
        <w:rPr>
          <w:rFonts w:hint="eastAsia" w:ascii="宋体" w:hAnsi="宋体" w:eastAsia="宋体" w:cs="宋体"/>
          <w:color w:val="auto"/>
          <w:sz w:val="48"/>
          <w:szCs w:val="48"/>
          <w:highlight w:val="none"/>
        </w:rPr>
        <w:t xml:space="preserve"> </w:t>
      </w:r>
      <w:r>
        <w:rPr>
          <w:rFonts w:hint="eastAsia" w:ascii="宋体" w:hAnsi="宋体" w:eastAsia="宋体" w:cs="宋体"/>
          <w:b/>
          <w:color w:val="auto"/>
          <w:sz w:val="36"/>
          <w:szCs w:val="36"/>
          <w:highlight w:val="none"/>
        </w:rPr>
        <w:t>HT-2019-CG-132</w:t>
      </w:r>
    </w:p>
    <w:p>
      <w:pPr>
        <w:spacing w:line="360" w:lineRule="auto"/>
        <w:rPr>
          <w:rFonts w:ascii="宋体" w:hAnsi="宋体" w:eastAsia="宋体" w:cs="宋体"/>
          <w:b/>
          <w:bCs/>
          <w:color w:val="auto"/>
          <w:sz w:val="36"/>
          <w:szCs w:val="36"/>
          <w:highlight w:val="none"/>
        </w:rPr>
      </w:pPr>
    </w:p>
    <w:p>
      <w:pPr>
        <w:pStyle w:val="25"/>
        <w:ind w:firstLine="723"/>
        <w:rPr>
          <w:rFonts w:eastAsia="宋体"/>
          <w:b/>
          <w:bCs/>
          <w:color w:val="auto"/>
          <w:sz w:val="36"/>
          <w:szCs w:val="36"/>
          <w:highlight w:val="none"/>
        </w:rPr>
      </w:pPr>
    </w:p>
    <w:p>
      <w:pPr>
        <w:pStyle w:val="25"/>
        <w:ind w:firstLine="723"/>
        <w:rPr>
          <w:rFonts w:eastAsia="宋体"/>
          <w:b/>
          <w:bCs/>
          <w:color w:val="auto"/>
          <w:sz w:val="36"/>
          <w:szCs w:val="36"/>
          <w:highlight w:val="none"/>
        </w:rPr>
      </w:pPr>
    </w:p>
    <w:p>
      <w:pPr>
        <w:pStyle w:val="25"/>
        <w:ind w:firstLine="723"/>
        <w:rPr>
          <w:rFonts w:eastAsia="宋体"/>
          <w:b/>
          <w:bCs/>
          <w:color w:val="auto"/>
          <w:sz w:val="36"/>
          <w:szCs w:val="36"/>
          <w:highlight w:val="none"/>
        </w:rPr>
      </w:pPr>
    </w:p>
    <w:p>
      <w:pPr>
        <w:pStyle w:val="25"/>
        <w:ind w:firstLine="723"/>
        <w:rPr>
          <w:rFonts w:eastAsia="宋体"/>
          <w:b/>
          <w:bCs/>
          <w:color w:val="auto"/>
          <w:sz w:val="36"/>
          <w:szCs w:val="36"/>
          <w:highlight w:val="none"/>
        </w:rPr>
      </w:pPr>
    </w:p>
    <w:p>
      <w:pPr>
        <w:pStyle w:val="25"/>
        <w:ind w:firstLine="0" w:firstLineChars="0"/>
        <w:rPr>
          <w:rFonts w:eastAsia="宋体"/>
          <w:b/>
          <w:bCs/>
          <w:color w:val="auto"/>
          <w:sz w:val="36"/>
          <w:szCs w:val="36"/>
          <w:highlight w:val="none"/>
        </w:rPr>
      </w:pPr>
    </w:p>
    <w:p>
      <w:pPr>
        <w:pStyle w:val="25"/>
        <w:ind w:firstLine="723"/>
        <w:rPr>
          <w:rFonts w:eastAsia="宋体"/>
          <w:b/>
          <w:bCs/>
          <w:color w:val="auto"/>
          <w:sz w:val="36"/>
          <w:szCs w:val="36"/>
          <w:highlight w:val="none"/>
        </w:rPr>
      </w:pPr>
    </w:p>
    <w:p>
      <w:pPr>
        <w:spacing w:line="360" w:lineRule="auto"/>
        <w:jc w:val="center"/>
        <w:rPr>
          <w:rFonts w:ascii="宋体" w:hAnsi="宋体" w:eastAsia="宋体" w:cs="宋体"/>
          <w:b/>
          <w:bCs/>
          <w:color w:val="auto"/>
          <w:spacing w:val="4"/>
          <w:sz w:val="32"/>
          <w:szCs w:val="32"/>
          <w:highlight w:val="none"/>
          <w:u w:val="single"/>
        </w:rPr>
      </w:pPr>
      <w:r>
        <w:rPr>
          <w:rFonts w:hint="eastAsia" w:ascii="宋体" w:hAnsi="宋体" w:eastAsia="宋体" w:cs="宋体"/>
          <w:b/>
          <w:bCs/>
          <w:color w:val="auto"/>
          <w:sz w:val="32"/>
          <w:szCs w:val="32"/>
          <w:highlight w:val="none"/>
        </w:rPr>
        <w:t>采购人：济宁医学院</w:t>
      </w:r>
    </w:p>
    <w:p>
      <w:pPr>
        <w:spacing w:line="360" w:lineRule="auto"/>
        <w:jc w:val="center"/>
        <w:rPr>
          <w:rFonts w:ascii="宋体" w:hAnsi="宋体" w:eastAsia="宋体" w:cs="宋体"/>
          <w:b/>
          <w:color w:val="auto"/>
          <w:spacing w:val="-20"/>
          <w:sz w:val="32"/>
          <w:szCs w:val="32"/>
          <w:highlight w:val="none"/>
        </w:rPr>
      </w:pPr>
      <w:r>
        <w:rPr>
          <w:rFonts w:hint="eastAsia" w:ascii="宋体" w:hAnsi="宋体" w:eastAsia="宋体" w:cs="宋体"/>
          <w:b/>
          <w:bCs/>
          <w:color w:val="auto"/>
          <w:sz w:val="32"/>
          <w:szCs w:val="32"/>
          <w:highlight w:val="none"/>
        </w:rPr>
        <w:t>代理机构：</w:t>
      </w:r>
      <w:r>
        <w:rPr>
          <w:rFonts w:hint="eastAsia" w:ascii="宋体" w:hAnsi="宋体" w:eastAsia="宋体" w:cs="宋体"/>
          <w:b/>
          <w:bCs/>
          <w:color w:val="auto"/>
          <w:spacing w:val="-12"/>
          <w:sz w:val="32"/>
          <w:szCs w:val="32"/>
          <w:highlight w:val="none"/>
        </w:rPr>
        <w:t>山东衡天咨询有限公司</w:t>
      </w:r>
    </w:p>
    <w:p>
      <w:pPr>
        <w:tabs>
          <w:tab w:val="left" w:pos="6660"/>
        </w:tabs>
        <w:spacing w:line="360" w:lineRule="auto"/>
        <w:jc w:val="center"/>
        <w:rPr>
          <w:rFonts w:ascii="宋体" w:hAnsi="宋体" w:eastAsia="宋体" w:cs="宋体"/>
          <w:color w:val="auto"/>
          <w:kern w:val="0"/>
          <w:sz w:val="46"/>
          <w:szCs w:val="18"/>
          <w:highlight w:val="none"/>
        </w:rPr>
      </w:pPr>
      <w:r>
        <w:rPr>
          <w:rFonts w:hint="eastAsia" w:ascii="宋体" w:hAnsi="宋体" w:eastAsia="宋体" w:cs="宋体"/>
          <w:b/>
          <w:bCs/>
          <w:color w:val="auto"/>
          <w:spacing w:val="40"/>
          <w:sz w:val="32"/>
          <w:szCs w:val="32"/>
          <w:highlight w:val="none"/>
        </w:rPr>
        <w:t>二〇一九年十二月</w:t>
      </w:r>
      <w:bookmarkEnd w:id="0"/>
    </w:p>
    <w:p>
      <w:pPr>
        <w:autoSpaceDE w:val="0"/>
        <w:autoSpaceDN w:val="0"/>
        <w:adjustRightInd w:val="0"/>
        <w:jc w:val="center"/>
        <w:rPr>
          <w:rFonts w:ascii="宋体" w:hAnsi="宋体" w:eastAsia="宋体" w:cs="宋体"/>
          <w:color w:val="auto"/>
          <w:kern w:val="0"/>
          <w:sz w:val="46"/>
          <w:szCs w:val="18"/>
          <w:highlight w:val="none"/>
        </w:rPr>
        <w:sectPr>
          <w:pgSz w:w="11906" w:h="16838"/>
          <w:pgMar w:top="1418" w:right="1134" w:bottom="1418" w:left="1134" w:header="851" w:footer="992" w:gutter="0"/>
          <w:cols w:space="720" w:num="1"/>
          <w:docGrid w:type="linesAndChars" w:linePitch="312" w:charSpace="0"/>
        </w:sectPr>
      </w:pPr>
    </w:p>
    <w:p>
      <w:pPr>
        <w:autoSpaceDE w:val="0"/>
        <w:autoSpaceDN w:val="0"/>
        <w:adjustRightInd w:val="0"/>
        <w:jc w:val="center"/>
        <w:rPr>
          <w:rFonts w:ascii="宋体" w:hAnsi="宋体" w:eastAsia="宋体" w:cs="宋体"/>
          <w:color w:val="auto"/>
          <w:kern w:val="0"/>
          <w:sz w:val="46"/>
          <w:szCs w:val="18"/>
          <w:highlight w:val="none"/>
        </w:rPr>
      </w:pPr>
      <w:r>
        <w:rPr>
          <w:rFonts w:hint="eastAsia" w:ascii="宋体" w:hAnsi="宋体" w:eastAsia="宋体" w:cs="宋体"/>
          <w:color w:val="auto"/>
          <w:kern w:val="0"/>
          <w:sz w:val="46"/>
          <w:szCs w:val="18"/>
          <w:highlight w:val="none"/>
        </w:rPr>
        <w:t>目  录</w:t>
      </w:r>
    </w:p>
    <w:p>
      <w:pPr>
        <w:autoSpaceDE w:val="0"/>
        <w:autoSpaceDN w:val="0"/>
        <w:adjustRightInd w:val="0"/>
        <w:jc w:val="center"/>
        <w:rPr>
          <w:rFonts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TOC \o "1-1" \h \z \u </w:instrText>
      </w:r>
      <w:r>
        <w:rPr>
          <w:rFonts w:hint="eastAsia" w:ascii="宋体" w:hAnsi="宋体" w:eastAsia="宋体" w:cs="宋体"/>
          <w:color w:val="auto"/>
          <w:highlight w:val="none"/>
        </w:rPr>
        <w:fldChar w:fldCharType="separate"/>
      </w:r>
    </w:p>
    <w:p>
      <w:pPr>
        <w:pStyle w:val="16"/>
        <w:tabs>
          <w:tab w:val="right" w:leader="dot" w:pos="9628"/>
        </w:tabs>
        <w:spacing w:line="480" w:lineRule="auto"/>
        <w:rPr>
          <w:rFonts w:ascii="宋体" w:hAnsi="宋体" w:eastAsia="宋体" w:cs="宋体"/>
          <w:color w:val="auto"/>
          <w:sz w:val="28"/>
          <w:szCs w:val="28"/>
          <w:highlight w:val="none"/>
        </w:rPr>
      </w:pPr>
      <w:r>
        <w:rPr>
          <w:color w:val="auto"/>
          <w:highlight w:val="none"/>
        </w:rPr>
        <w:fldChar w:fldCharType="begin"/>
      </w:r>
      <w:r>
        <w:rPr>
          <w:color w:val="auto"/>
          <w:highlight w:val="none"/>
        </w:rPr>
        <w:instrText xml:space="preserve"> HYPERLINK \l "_Toc450115334" </w:instrText>
      </w:r>
      <w:r>
        <w:rPr>
          <w:color w:val="auto"/>
          <w:highlight w:val="none"/>
        </w:rPr>
        <w:fldChar w:fldCharType="separate"/>
      </w:r>
      <w:r>
        <w:rPr>
          <w:rStyle w:val="24"/>
          <w:rFonts w:hint="eastAsia" w:ascii="宋体" w:hAnsi="宋体" w:eastAsia="宋体" w:cs="宋体"/>
          <w:color w:val="auto"/>
          <w:sz w:val="28"/>
          <w:szCs w:val="28"/>
          <w:highlight w:val="none"/>
        </w:rPr>
        <w:t>第一章 竞争性磋商公告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_Toc450115334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16"/>
        <w:tabs>
          <w:tab w:val="right" w:leader="dot" w:pos="9628"/>
        </w:tabs>
        <w:spacing w:line="480" w:lineRule="auto"/>
        <w:rPr>
          <w:rFonts w:ascii="宋体" w:hAnsi="宋体" w:eastAsia="宋体" w:cs="宋体"/>
          <w:color w:val="auto"/>
          <w:sz w:val="28"/>
          <w:szCs w:val="28"/>
          <w:highlight w:val="none"/>
        </w:rPr>
      </w:pPr>
      <w:r>
        <w:rPr>
          <w:color w:val="auto"/>
          <w:highlight w:val="none"/>
        </w:rPr>
        <w:fldChar w:fldCharType="begin"/>
      </w:r>
      <w:r>
        <w:rPr>
          <w:color w:val="auto"/>
          <w:highlight w:val="none"/>
        </w:rPr>
        <w:instrText xml:space="preserve"> HYPERLINK \l "_Toc450115335" </w:instrText>
      </w:r>
      <w:r>
        <w:rPr>
          <w:color w:val="auto"/>
          <w:highlight w:val="none"/>
        </w:rPr>
        <w:fldChar w:fldCharType="separate"/>
      </w:r>
      <w:r>
        <w:rPr>
          <w:rStyle w:val="24"/>
          <w:rFonts w:hint="eastAsia" w:ascii="宋体" w:hAnsi="宋体" w:eastAsia="宋体" w:cs="宋体"/>
          <w:color w:val="auto"/>
          <w:sz w:val="28"/>
          <w:szCs w:val="28"/>
          <w:highlight w:val="none"/>
        </w:rPr>
        <w:t>第二章 供应商须知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t>5</w:t>
      </w:r>
      <w:r>
        <w:rPr>
          <w:rFonts w:hint="eastAsia" w:ascii="宋体" w:hAnsi="宋体" w:eastAsia="宋体" w:cs="宋体"/>
          <w:color w:val="auto"/>
          <w:sz w:val="28"/>
          <w:szCs w:val="28"/>
          <w:highlight w:val="none"/>
        </w:rPr>
        <w:fldChar w:fldCharType="end"/>
      </w:r>
    </w:p>
    <w:p>
      <w:pPr>
        <w:pStyle w:val="16"/>
        <w:tabs>
          <w:tab w:val="right" w:leader="dot" w:pos="9628"/>
        </w:tabs>
        <w:spacing w:line="480" w:lineRule="auto"/>
        <w:rPr>
          <w:rFonts w:ascii="宋体" w:hAnsi="宋体" w:eastAsia="宋体" w:cs="宋体"/>
          <w:color w:val="auto"/>
          <w:sz w:val="28"/>
          <w:szCs w:val="28"/>
          <w:highlight w:val="none"/>
        </w:rPr>
      </w:pPr>
      <w:r>
        <w:rPr>
          <w:color w:val="auto"/>
          <w:highlight w:val="none"/>
        </w:rPr>
        <w:fldChar w:fldCharType="begin"/>
      </w:r>
      <w:r>
        <w:rPr>
          <w:color w:val="auto"/>
          <w:highlight w:val="none"/>
        </w:rPr>
        <w:instrText xml:space="preserve"> HYPERLINK \l "_Toc450115336" </w:instrText>
      </w:r>
      <w:r>
        <w:rPr>
          <w:color w:val="auto"/>
          <w:highlight w:val="none"/>
        </w:rPr>
        <w:fldChar w:fldCharType="separate"/>
      </w:r>
      <w:r>
        <w:rPr>
          <w:rStyle w:val="24"/>
          <w:rFonts w:hint="eastAsia" w:ascii="宋体" w:hAnsi="宋体" w:eastAsia="宋体" w:cs="宋体"/>
          <w:color w:val="auto"/>
          <w:sz w:val="28"/>
          <w:szCs w:val="28"/>
          <w:highlight w:val="none"/>
        </w:rPr>
        <w:t>第三章 项目说明</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_Toc450115336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19</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16"/>
        <w:tabs>
          <w:tab w:val="right" w:leader="dot" w:pos="9628"/>
        </w:tabs>
        <w:spacing w:line="480" w:lineRule="auto"/>
        <w:rPr>
          <w:rFonts w:ascii="宋体" w:hAnsi="宋体" w:eastAsia="宋体" w:cs="宋体"/>
          <w:color w:val="auto"/>
          <w:sz w:val="28"/>
          <w:szCs w:val="28"/>
          <w:highlight w:val="none"/>
        </w:rPr>
      </w:pPr>
      <w:r>
        <w:rPr>
          <w:color w:val="auto"/>
          <w:highlight w:val="none"/>
        </w:rPr>
        <w:fldChar w:fldCharType="begin"/>
      </w:r>
      <w:r>
        <w:rPr>
          <w:color w:val="auto"/>
          <w:highlight w:val="none"/>
        </w:rPr>
        <w:instrText xml:space="preserve"> HYPERLINK \l "_Toc450115337" </w:instrText>
      </w:r>
      <w:r>
        <w:rPr>
          <w:color w:val="auto"/>
          <w:highlight w:val="none"/>
        </w:rPr>
        <w:fldChar w:fldCharType="separate"/>
      </w:r>
      <w:r>
        <w:rPr>
          <w:rStyle w:val="24"/>
          <w:rFonts w:hint="eastAsia" w:ascii="宋体" w:hAnsi="宋体" w:eastAsia="宋体" w:cs="宋体"/>
          <w:color w:val="auto"/>
          <w:sz w:val="28"/>
          <w:szCs w:val="28"/>
          <w:highlight w:val="none"/>
        </w:rPr>
        <w:t>第四章 合同格式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t>0</w:t>
      </w:r>
    </w:p>
    <w:p>
      <w:pPr>
        <w:pStyle w:val="16"/>
        <w:tabs>
          <w:tab w:val="right" w:leader="dot" w:pos="9628"/>
        </w:tabs>
        <w:spacing w:line="480" w:lineRule="auto"/>
        <w:rPr>
          <w:rFonts w:ascii="宋体" w:hAnsi="宋体" w:eastAsia="宋体" w:cs="宋体"/>
          <w:color w:val="auto"/>
          <w:sz w:val="28"/>
          <w:szCs w:val="28"/>
          <w:highlight w:val="none"/>
        </w:rPr>
      </w:pPr>
      <w:r>
        <w:rPr>
          <w:color w:val="auto"/>
          <w:highlight w:val="none"/>
        </w:rPr>
        <w:fldChar w:fldCharType="begin"/>
      </w:r>
      <w:r>
        <w:rPr>
          <w:color w:val="auto"/>
          <w:highlight w:val="none"/>
        </w:rPr>
        <w:instrText xml:space="preserve"> HYPERLINK \l "_Toc450115353" </w:instrText>
      </w:r>
      <w:r>
        <w:rPr>
          <w:color w:val="auto"/>
          <w:highlight w:val="none"/>
        </w:rPr>
        <w:fldChar w:fldCharType="separate"/>
      </w:r>
      <w:r>
        <w:rPr>
          <w:rStyle w:val="24"/>
          <w:rFonts w:hint="eastAsia" w:ascii="宋体" w:hAnsi="宋体" w:eastAsia="宋体" w:cs="宋体"/>
          <w:color w:val="auto"/>
          <w:sz w:val="28"/>
          <w:szCs w:val="28"/>
          <w:highlight w:val="none"/>
        </w:rPr>
        <w:t>第五章 响应文件格式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t>1</w:t>
      </w:r>
    </w:p>
    <w:p>
      <w:pPr>
        <w:pStyle w:val="16"/>
        <w:tabs>
          <w:tab w:val="right" w:leader="dot" w:pos="9628"/>
        </w:tabs>
        <w:spacing w:line="480" w:lineRule="auto"/>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"_Toc450115354" </w:instrText>
      </w:r>
      <w:r>
        <w:rPr>
          <w:color w:val="auto"/>
          <w:highlight w:val="none"/>
        </w:rPr>
        <w:fldChar w:fldCharType="separate"/>
      </w:r>
      <w:r>
        <w:rPr>
          <w:rStyle w:val="24"/>
          <w:rFonts w:hint="eastAsia" w:ascii="宋体" w:hAnsi="宋体" w:eastAsia="宋体" w:cs="宋体"/>
          <w:color w:val="auto"/>
          <w:sz w:val="28"/>
          <w:szCs w:val="28"/>
          <w:highlight w:val="none"/>
        </w:rPr>
        <w:t>第六章 评分标准</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t>4</w:t>
      </w:r>
    </w:p>
    <w:p>
      <w:pPr>
        <w:tabs>
          <w:tab w:val="right" w:leader="dot" w:pos="9087"/>
        </w:tabs>
        <w:spacing w:line="480" w:lineRule="auto"/>
        <w:ind w:firstLine="480" w:firstLineChars="200"/>
        <w:rPr>
          <w:rStyle w:val="24"/>
          <w:rFonts w:ascii="宋体" w:hAnsi="宋体" w:eastAsia="宋体" w:cs="宋体"/>
          <w:color w:val="auto"/>
          <w:sz w:val="24"/>
          <w:highlight w:val="none"/>
          <w:u w:val="none"/>
        </w:rPr>
      </w:pPr>
      <w:r>
        <w:rPr>
          <w:rFonts w:hint="eastAsia" w:ascii="宋体" w:hAnsi="宋体" w:eastAsia="宋体" w:cs="宋体"/>
          <w:color w:val="auto"/>
          <w:sz w:val="24"/>
          <w:highlight w:val="none"/>
        </w:rPr>
        <w:fldChar w:fldCharType="end"/>
      </w:r>
    </w:p>
    <w:p>
      <w:pPr>
        <w:pStyle w:val="17"/>
        <w:rPr>
          <w:rFonts w:ascii="宋体" w:hAnsi="宋体" w:eastAsia="宋体" w:cs="宋体"/>
          <w:color w:val="auto"/>
          <w:highlight w:val="none"/>
        </w:rPr>
      </w:pPr>
    </w:p>
    <w:p>
      <w:pPr>
        <w:rPr>
          <w:rFonts w:ascii="宋体" w:hAnsi="宋体" w:eastAsia="宋体" w:cs="宋体"/>
          <w:b/>
          <w:color w:val="auto"/>
          <w:sz w:val="30"/>
          <w:highlight w:val="none"/>
        </w:rPr>
      </w:pPr>
    </w:p>
    <w:p>
      <w:pPr>
        <w:jc w:val="center"/>
        <w:rPr>
          <w:rFonts w:ascii="宋体" w:hAnsi="宋体" w:eastAsia="宋体" w:cs="宋体"/>
          <w:b/>
          <w:color w:val="auto"/>
          <w:sz w:val="44"/>
          <w:highlight w:val="none"/>
        </w:rPr>
      </w:pPr>
    </w:p>
    <w:p>
      <w:pPr>
        <w:tabs>
          <w:tab w:val="left" w:pos="5510"/>
        </w:tabs>
        <w:jc w:val="left"/>
        <w:rPr>
          <w:rFonts w:ascii="宋体" w:hAnsi="宋体" w:eastAsia="宋体" w:cs="宋体"/>
          <w:b/>
          <w:color w:val="auto"/>
          <w:sz w:val="44"/>
          <w:highlight w:val="none"/>
        </w:rPr>
      </w:pPr>
      <w:r>
        <w:rPr>
          <w:rFonts w:hint="eastAsia" w:ascii="宋体" w:hAnsi="宋体" w:eastAsia="宋体" w:cs="宋体"/>
          <w:b/>
          <w:color w:val="auto"/>
          <w:sz w:val="44"/>
          <w:highlight w:val="none"/>
        </w:rPr>
        <w:tab/>
      </w:r>
    </w:p>
    <w:p>
      <w:pPr>
        <w:tabs>
          <w:tab w:val="left" w:pos="5510"/>
        </w:tabs>
        <w:jc w:val="left"/>
        <w:rPr>
          <w:rFonts w:ascii="宋体" w:hAnsi="宋体" w:eastAsia="宋体" w:cs="宋体"/>
          <w:b/>
          <w:color w:val="auto"/>
          <w:sz w:val="44"/>
          <w:highlight w:val="none"/>
        </w:rPr>
      </w:pPr>
    </w:p>
    <w:p>
      <w:pPr>
        <w:tabs>
          <w:tab w:val="left" w:pos="5510"/>
        </w:tabs>
        <w:jc w:val="left"/>
        <w:rPr>
          <w:rFonts w:ascii="宋体" w:hAnsi="宋体" w:eastAsia="宋体" w:cs="宋体"/>
          <w:b/>
          <w:color w:val="auto"/>
          <w:sz w:val="44"/>
          <w:highlight w:val="none"/>
        </w:rPr>
      </w:pPr>
    </w:p>
    <w:p>
      <w:pPr>
        <w:tabs>
          <w:tab w:val="left" w:pos="5510"/>
        </w:tabs>
        <w:jc w:val="left"/>
        <w:rPr>
          <w:rFonts w:ascii="宋体" w:hAnsi="宋体" w:eastAsia="宋体" w:cs="宋体"/>
          <w:b/>
          <w:color w:val="auto"/>
          <w:sz w:val="44"/>
          <w:highlight w:val="none"/>
        </w:rPr>
      </w:pPr>
    </w:p>
    <w:p>
      <w:pPr>
        <w:jc w:val="center"/>
        <w:rPr>
          <w:rFonts w:ascii="宋体" w:hAnsi="宋体" w:eastAsia="宋体" w:cs="宋体"/>
          <w:b/>
          <w:color w:val="auto"/>
          <w:sz w:val="44"/>
          <w:highlight w:val="none"/>
        </w:rPr>
      </w:pPr>
    </w:p>
    <w:p>
      <w:pPr>
        <w:jc w:val="center"/>
        <w:rPr>
          <w:rFonts w:ascii="宋体" w:hAnsi="宋体" w:eastAsia="宋体" w:cs="宋体"/>
          <w:b/>
          <w:color w:val="auto"/>
          <w:sz w:val="44"/>
          <w:highlight w:val="none"/>
        </w:rPr>
      </w:pPr>
    </w:p>
    <w:p>
      <w:pPr>
        <w:jc w:val="center"/>
        <w:rPr>
          <w:rFonts w:ascii="宋体" w:hAnsi="宋体" w:eastAsia="宋体" w:cs="宋体"/>
          <w:b/>
          <w:color w:val="auto"/>
          <w:sz w:val="44"/>
          <w:highlight w:val="none"/>
        </w:rPr>
      </w:pPr>
    </w:p>
    <w:p>
      <w:pPr>
        <w:jc w:val="center"/>
        <w:rPr>
          <w:rFonts w:ascii="宋体" w:hAnsi="宋体" w:eastAsia="宋体" w:cs="宋体"/>
          <w:b/>
          <w:color w:val="auto"/>
          <w:sz w:val="44"/>
          <w:highlight w:val="none"/>
        </w:rPr>
      </w:pPr>
    </w:p>
    <w:p>
      <w:pPr>
        <w:jc w:val="center"/>
        <w:rPr>
          <w:rFonts w:ascii="宋体" w:hAnsi="宋体" w:eastAsia="宋体" w:cs="宋体"/>
          <w:b/>
          <w:color w:val="auto"/>
          <w:sz w:val="44"/>
          <w:highlight w:val="none"/>
        </w:rPr>
      </w:pPr>
    </w:p>
    <w:p>
      <w:pPr>
        <w:pStyle w:val="25"/>
        <w:rPr>
          <w:color w:val="auto"/>
          <w:highlight w:val="none"/>
        </w:rPr>
      </w:pPr>
    </w:p>
    <w:p>
      <w:pPr>
        <w:pStyle w:val="25"/>
        <w:rPr>
          <w:color w:val="auto"/>
          <w:highlight w:val="none"/>
        </w:rPr>
      </w:pPr>
    </w:p>
    <w:p>
      <w:pPr>
        <w:pStyle w:val="3"/>
        <w:keepNext w:val="0"/>
        <w:keepLines w:val="0"/>
        <w:topLinePunct/>
        <w:spacing w:line="240" w:lineRule="auto"/>
        <w:rPr>
          <w:rFonts w:ascii="宋体" w:hAnsi="宋体" w:eastAsia="宋体" w:cs="宋体"/>
          <w:color w:val="auto"/>
          <w:sz w:val="36"/>
          <w:szCs w:val="36"/>
          <w:highlight w:val="none"/>
        </w:rPr>
      </w:pPr>
      <w:bookmarkStart w:id="1" w:name="_Toc19902"/>
      <w:bookmarkStart w:id="2" w:name="_Toc450115334"/>
      <w:r>
        <w:rPr>
          <w:rFonts w:hint="eastAsia" w:ascii="宋体" w:hAnsi="宋体" w:eastAsia="宋体" w:cs="宋体"/>
          <w:color w:val="auto"/>
          <w:highlight w:val="none"/>
        </w:rPr>
        <w:t xml:space="preserve">第一章  </w:t>
      </w:r>
      <w:bookmarkEnd w:id="1"/>
      <w:bookmarkEnd w:id="2"/>
      <w:bookmarkStart w:id="3" w:name="_Toc450115335"/>
      <w:r>
        <w:rPr>
          <w:rFonts w:hint="eastAsia" w:ascii="宋体" w:hAnsi="宋体" w:eastAsia="宋体" w:cs="宋体"/>
          <w:color w:val="auto"/>
          <w:highlight w:val="none"/>
        </w:rPr>
        <w:t>竞争性磋商公告</w:t>
      </w:r>
    </w:p>
    <w:p>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济宁医学院太白湖校区消防系统维保、零星消防工程施工服务项目经有关部门批准，现采用竞争性磋商方式确定成交供应商，有关事宜公告如下：</w:t>
      </w:r>
    </w:p>
    <w:p>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一、项目基本信息</w:t>
      </w:r>
    </w:p>
    <w:p>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1、项目编号：HT-2019-CG-132</w:t>
      </w:r>
    </w:p>
    <w:p>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2、项目名称：济宁医学院太白湖校区消防系统维保、零星消防工程施工服务项目</w:t>
      </w:r>
    </w:p>
    <w:p>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3、标段划分：2个包</w:t>
      </w:r>
    </w:p>
    <w:p>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4、项目概况：本项目为济宁医学院太白湖校区消防系统维保、零星消防工程施工服务项目，具体内容详见项目说明。</w:t>
      </w:r>
    </w:p>
    <w:p>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二、供应商资格要求</w:t>
      </w:r>
    </w:p>
    <w:tbl>
      <w:tblPr>
        <w:tblStyle w:val="21"/>
        <w:tblW w:w="9599"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2449"/>
        <w:gridCol w:w="6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998" w:type="dxa"/>
            <w:vAlign w:val="center"/>
          </w:tcPr>
          <w:p>
            <w:pPr>
              <w:snapToGrid w:val="0"/>
              <w:spacing w:line="360" w:lineRule="auto"/>
              <w:jc w:val="center"/>
              <w:rPr>
                <w:rFonts w:ascii="宋体" w:hAnsi="Calibri" w:eastAsia="宋体" w:cs="宋体"/>
                <w:color w:val="auto"/>
                <w:sz w:val="24"/>
                <w:highlight w:val="none"/>
              </w:rPr>
            </w:pPr>
            <w:r>
              <w:rPr>
                <w:rFonts w:hint="eastAsia" w:ascii="宋体" w:hAnsi="Calibri" w:eastAsia="宋体" w:cs="宋体"/>
                <w:color w:val="auto"/>
                <w:sz w:val="24"/>
                <w:highlight w:val="none"/>
              </w:rPr>
              <w:t>包号</w:t>
            </w:r>
          </w:p>
        </w:tc>
        <w:tc>
          <w:tcPr>
            <w:tcW w:w="2449" w:type="dxa"/>
            <w:vAlign w:val="center"/>
          </w:tcPr>
          <w:p>
            <w:pPr>
              <w:snapToGrid w:val="0"/>
              <w:spacing w:line="360" w:lineRule="auto"/>
              <w:jc w:val="center"/>
              <w:rPr>
                <w:rFonts w:ascii="宋体" w:hAnsi="Calibri" w:eastAsia="宋体" w:cs="宋体"/>
                <w:color w:val="auto"/>
                <w:sz w:val="24"/>
                <w:highlight w:val="none"/>
              </w:rPr>
            </w:pPr>
            <w:r>
              <w:rPr>
                <w:rFonts w:hint="eastAsia" w:ascii="宋体" w:hAnsi="Calibri" w:eastAsia="宋体" w:cs="宋体"/>
                <w:color w:val="auto"/>
                <w:sz w:val="24"/>
                <w:highlight w:val="none"/>
              </w:rPr>
              <w:t>项目名称</w:t>
            </w:r>
          </w:p>
        </w:tc>
        <w:tc>
          <w:tcPr>
            <w:tcW w:w="6152" w:type="dxa"/>
            <w:vAlign w:val="center"/>
          </w:tcPr>
          <w:p>
            <w:pPr>
              <w:snapToGrid w:val="0"/>
              <w:spacing w:line="360" w:lineRule="auto"/>
              <w:jc w:val="center"/>
              <w:rPr>
                <w:rFonts w:ascii="宋体" w:hAnsi="Calibri" w:eastAsia="宋体" w:cs="宋体"/>
                <w:color w:val="auto"/>
                <w:sz w:val="24"/>
                <w:highlight w:val="none"/>
              </w:rPr>
            </w:pPr>
            <w:r>
              <w:rPr>
                <w:rFonts w:hint="eastAsia" w:ascii="宋体" w:hAnsi="Calibri" w:eastAsia="宋体" w:cs="宋体"/>
                <w:color w:val="auto"/>
                <w:sz w:val="24"/>
                <w:highlight w:val="none"/>
              </w:rPr>
              <w:t>供应商资格要求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3" w:hRule="atLeast"/>
        </w:trPr>
        <w:tc>
          <w:tcPr>
            <w:tcW w:w="998" w:type="dxa"/>
            <w:vAlign w:val="center"/>
          </w:tcPr>
          <w:p>
            <w:pPr>
              <w:pStyle w:val="25"/>
              <w:snapToGrid w:val="0"/>
              <w:ind w:firstLine="0" w:firstLineChars="0"/>
              <w:jc w:val="center"/>
              <w:rPr>
                <w:color w:val="auto"/>
                <w:highlight w:val="none"/>
              </w:rPr>
            </w:pPr>
            <w:r>
              <w:rPr>
                <w:rFonts w:hint="eastAsia"/>
                <w:color w:val="auto"/>
                <w:highlight w:val="none"/>
              </w:rPr>
              <w:t>A包</w:t>
            </w:r>
          </w:p>
        </w:tc>
        <w:tc>
          <w:tcPr>
            <w:tcW w:w="2449" w:type="dxa"/>
            <w:vAlign w:val="center"/>
          </w:tcPr>
          <w:p>
            <w:pPr>
              <w:pStyle w:val="25"/>
              <w:ind w:firstLine="0" w:firstLineChars="0"/>
              <w:jc w:val="center"/>
              <w:rPr>
                <w:color w:val="auto"/>
                <w:highlight w:val="none"/>
              </w:rPr>
            </w:pPr>
            <w:r>
              <w:rPr>
                <w:rFonts w:hint="eastAsia"/>
                <w:color w:val="auto"/>
                <w:highlight w:val="none"/>
              </w:rPr>
              <w:t>济宁医学院太白湖校区消防维保项目</w:t>
            </w:r>
          </w:p>
        </w:tc>
        <w:tc>
          <w:tcPr>
            <w:tcW w:w="6152" w:type="dxa"/>
          </w:tcPr>
          <w:p>
            <w:pPr>
              <w:pStyle w:val="25"/>
              <w:snapToGrid w:val="0"/>
              <w:ind w:firstLine="0" w:firstLineChars="0"/>
              <w:jc w:val="left"/>
              <w:rPr>
                <w:color w:val="auto"/>
                <w:highlight w:val="none"/>
              </w:rPr>
            </w:pPr>
            <w:r>
              <w:rPr>
                <w:rFonts w:hint="eastAsia"/>
                <w:color w:val="auto"/>
                <w:highlight w:val="none"/>
              </w:rPr>
              <w:t>1、在中国境内注册，具有独立法人资格；</w:t>
            </w:r>
          </w:p>
          <w:p>
            <w:pPr>
              <w:pStyle w:val="25"/>
              <w:snapToGrid w:val="0"/>
              <w:ind w:firstLine="0" w:firstLineChars="0"/>
              <w:jc w:val="left"/>
              <w:rPr>
                <w:color w:val="auto"/>
                <w:highlight w:val="none"/>
              </w:rPr>
            </w:pPr>
            <w:r>
              <w:rPr>
                <w:rFonts w:hint="eastAsia"/>
                <w:color w:val="auto"/>
                <w:highlight w:val="none"/>
              </w:rPr>
              <w:t>2、具备有效的营业执照，并在人员、设备、资金等方面具有相应的服务能力；</w:t>
            </w:r>
          </w:p>
          <w:p>
            <w:pPr>
              <w:pStyle w:val="25"/>
              <w:snapToGrid w:val="0"/>
              <w:ind w:firstLine="0" w:firstLineChars="0"/>
              <w:jc w:val="left"/>
              <w:rPr>
                <w:color w:val="auto"/>
                <w:highlight w:val="none"/>
              </w:rPr>
            </w:pPr>
            <w:r>
              <w:rPr>
                <w:rFonts w:hint="eastAsia"/>
                <w:color w:val="auto"/>
                <w:highlight w:val="none"/>
              </w:rPr>
              <w:t>3、具备消防设施维护保养资质证书或消防技术服务机构资质证书（含临时资质，消防技术服务业务范围为建筑消防设施的维修、保养活动）；</w:t>
            </w:r>
          </w:p>
          <w:p>
            <w:pPr>
              <w:pStyle w:val="25"/>
              <w:snapToGrid w:val="0"/>
              <w:ind w:firstLine="0" w:firstLineChars="0"/>
              <w:jc w:val="left"/>
              <w:rPr>
                <w:color w:val="auto"/>
                <w:highlight w:val="none"/>
              </w:rPr>
            </w:pPr>
            <w:r>
              <w:rPr>
                <w:rFonts w:hint="eastAsia"/>
                <w:color w:val="auto"/>
                <w:highlight w:val="none"/>
              </w:rPr>
              <w:t>4、提供的资格、资质文件和业绩情况均真实有效，具有良好的商业信誉；</w:t>
            </w:r>
          </w:p>
          <w:p>
            <w:pPr>
              <w:pStyle w:val="25"/>
              <w:snapToGrid w:val="0"/>
              <w:ind w:firstLine="0" w:firstLineChars="0"/>
              <w:jc w:val="left"/>
              <w:rPr>
                <w:color w:val="auto"/>
                <w:highlight w:val="none"/>
              </w:rPr>
            </w:pPr>
            <w:r>
              <w:rPr>
                <w:rFonts w:hint="eastAsia"/>
                <w:color w:val="auto"/>
                <w:highlight w:val="none"/>
              </w:rPr>
              <w:t>5、参加政府采购活动前三年内，在经营活动中没有重大违法记录；</w:t>
            </w:r>
          </w:p>
          <w:p>
            <w:pPr>
              <w:pStyle w:val="25"/>
              <w:snapToGrid w:val="0"/>
              <w:ind w:firstLine="0" w:firstLineChars="0"/>
              <w:jc w:val="left"/>
              <w:rPr>
                <w:color w:val="auto"/>
                <w:highlight w:val="none"/>
              </w:rPr>
            </w:pPr>
            <w:r>
              <w:rPr>
                <w:rFonts w:hint="eastAsia"/>
                <w:color w:val="auto"/>
                <w:highlight w:val="none"/>
              </w:rPr>
              <w:t>6、供应商须满足《中华人民共和国政府采购法》第22条规定；</w:t>
            </w:r>
          </w:p>
          <w:p>
            <w:pPr>
              <w:pStyle w:val="25"/>
              <w:snapToGrid w:val="0"/>
              <w:ind w:firstLine="0" w:firstLineChars="0"/>
              <w:jc w:val="left"/>
              <w:rPr>
                <w:color w:val="auto"/>
                <w:highlight w:val="none"/>
              </w:rPr>
            </w:pPr>
            <w:r>
              <w:rPr>
                <w:rFonts w:hint="eastAsia"/>
                <w:color w:val="auto"/>
                <w:highlight w:val="none"/>
              </w:rPr>
              <w:t>7、遵守《中华人民共和国政府采购法》及相关法律、法规和规章；</w:t>
            </w:r>
          </w:p>
          <w:p>
            <w:pPr>
              <w:pStyle w:val="25"/>
              <w:snapToGrid w:val="0"/>
              <w:ind w:firstLine="0" w:firstLineChars="0"/>
              <w:jc w:val="left"/>
              <w:rPr>
                <w:color w:val="auto"/>
                <w:highlight w:val="none"/>
              </w:rPr>
            </w:pPr>
            <w:r>
              <w:rPr>
                <w:rFonts w:hint="eastAsia"/>
                <w:color w:val="auto"/>
                <w:highlight w:val="none"/>
              </w:rPr>
              <w:t>8、资格审查方式：资格后审；</w:t>
            </w:r>
          </w:p>
          <w:p>
            <w:pPr>
              <w:pStyle w:val="25"/>
              <w:snapToGrid w:val="0"/>
              <w:ind w:firstLine="0" w:firstLineChars="0"/>
              <w:jc w:val="left"/>
              <w:rPr>
                <w:color w:val="auto"/>
                <w:highlight w:val="none"/>
              </w:rPr>
            </w:pPr>
            <w:r>
              <w:rPr>
                <w:rFonts w:hint="eastAsia"/>
                <w:color w:val="auto"/>
                <w:highlight w:val="none"/>
              </w:rPr>
              <w:t>9、本项目不接受联合体投标；</w:t>
            </w:r>
          </w:p>
          <w:p>
            <w:pPr>
              <w:pStyle w:val="25"/>
              <w:snapToGrid w:val="0"/>
              <w:ind w:firstLine="0" w:firstLineChars="0"/>
              <w:jc w:val="left"/>
              <w:rPr>
                <w:color w:val="auto"/>
                <w:highlight w:val="none"/>
              </w:rPr>
            </w:pPr>
            <w:r>
              <w:rPr>
                <w:rFonts w:hint="eastAsia"/>
                <w:color w:val="auto"/>
                <w:highlight w:val="none"/>
              </w:rPr>
              <w:t>10、</w:t>
            </w:r>
            <w:r>
              <w:rPr>
                <w:rFonts w:hint="eastAsia" w:hAnsi="Calibri" w:eastAsia="宋体"/>
                <w:color w:val="auto"/>
                <w:highlight w:val="none"/>
              </w:rPr>
              <w:t>本项目兼投不兼中。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2" w:hRule="atLeast"/>
        </w:trPr>
        <w:tc>
          <w:tcPr>
            <w:tcW w:w="998" w:type="dxa"/>
            <w:vAlign w:val="center"/>
          </w:tcPr>
          <w:p>
            <w:pPr>
              <w:pStyle w:val="25"/>
              <w:snapToGrid w:val="0"/>
              <w:ind w:firstLine="0" w:firstLineChars="0"/>
              <w:jc w:val="center"/>
              <w:rPr>
                <w:color w:val="auto"/>
                <w:highlight w:val="none"/>
              </w:rPr>
            </w:pPr>
            <w:r>
              <w:rPr>
                <w:rFonts w:hint="eastAsia"/>
                <w:color w:val="auto"/>
                <w:highlight w:val="none"/>
              </w:rPr>
              <w:t>B包</w:t>
            </w:r>
          </w:p>
        </w:tc>
        <w:tc>
          <w:tcPr>
            <w:tcW w:w="2449" w:type="dxa"/>
            <w:vAlign w:val="center"/>
          </w:tcPr>
          <w:p>
            <w:pPr>
              <w:pStyle w:val="25"/>
              <w:ind w:firstLine="0" w:firstLineChars="0"/>
              <w:jc w:val="center"/>
              <w:rPr>
                <w:color w:val="auto"/>
                <w:highlight w:val="none"/>
              </w:rPr>
            </w:pPr>
            <w:r>
              <w:rPr>
                <w:rFonts w:hint="eastAsia"/>
                <w:color w:val="auto"/>
                <w:highlight w:val="none"/>
              </w:rPr>
              <w:t>济宁医学院太白湖校区零星消防施工队伍项目</w:t>
            </w:r>
          </w:p>
        </w:tc>
        <w:tc>
          <w:tcPr>
            <w:tcW w:w="6152" w:type="dxa"/>
          </w:tcPr>
          <w:p>
            <w:pPr>
              <w:pStyle w:val="25"/>
              <w:snapToGrid w:val="0"/>
              <w:ind w:firstLine="0" w:firstLineChars="0"/>
              <w:jc w:val="left"/>
              <w:rPr>
                <w:color w:val="auto"/>
                <w:highlight w:val="none"/>
              </w:rPr>
            </w:pPr>
            <w:r>
              <w:rPr>
                <w:rFonts w:hint="eastAsia"/>
                <w:color w:val="auto"/>
                <w:highlight w:val="none"/>
              </w:rPr>
              <w:t>1、在中国境内注册，具有独立法人资格；</w:t>
            </w:r>
          </w:p>
          <w:p>
            <w:pPr>
              <w:pStyle w:val="25"/>
              <w:snapToGrid w:val="0"/>
              <w:ind w:firstLine="0" w:firstLineChars="0"/>
              <w:jc w:val="left"/>
              <w:rPr>
                <w:color w:val="auto"/>
                <w:highlight w:val="none"/>
              </w:rPr>
            </w:pPr>
            <w:r>
              <w:rPr>
                <w:rFonts w:hint="eastAsia"/>
                <w:color w:val="auto"/>
                <w:highlight w:val="none"/>
              </w:rPr>
              <w:t>2、具备有效的营业执照，并在人员、设备、资金等方面具有相应的施工能力；</w:t>
            </w:r>
          </w:p>
          <w:p>
            <w:pPr>
              <w:pStyle w:val="25"/>
              <w:snapToGrid w:val="0"/>
              <w:ind w:firstLine="0" w:firstLineChars="0"/>
              <w:jc w:val="left"/>
              <w:rPr>
                <w:color w:val="auto"/>
                <w:highlight w:val="none"/>
              </w:rPr>
            </w:pPr>
            <w:r>
              <w:rPr>
                <w:rFonts w:hint="eastAsia"/>
                <w:color w:val="auto"/>
                <w:highlight w:val="none"/>
              </w:rPr>
              <w:t>3、具备消防设施工程专业承包二级及以上资质；</w:t>
            </w:r>
          </w:p>
          <w:p>
            <w:pPr>
              <w:pStyle w:val="25"/>
              <w:snapToGrid w:val="0"/>
              <w:ind w:firstLine="0" w:firstLineChars="0"/>
              <w:jc w:val="left"/>
              <w:rPr>
                <w:color w:val="auto"/>
                <w:highlight w:val="none"/>
              </w:rPr>
            </w:pPr>
            <w:r>
              <w:rPr>
                <w:rFonts w:hint="eastAsia"/>
                <w:color w:val="auto"/>
                <w:highlight w:val="none"/>
              </w:rPr>
              <w:t>4、项目负责人为机电工程专业贰级及以上注册建造师（须在本单位注册）；</w:t>
            </w:r>
          </w:p>
          <w:p>
            <w:pPr>
              <w:pStyle w:val="25"/>
              <w:snapToGrid w:val="0"/>
              <w:ind w:firstLine="0" w:firstLineChars="0"/>
              <w:jc w:val="left"/>
              <w:rPr>
                <w:color w:val="auto"/>
                <w:highlight w:val="none"/>
              </w:rPr>
            </w:pPr>
            <w:r>
              <w:rPr>
                <w:rFonts w:hint="eastAsia"/>
                <w:color w:val="auto"/>
                <w:highlight w:val="none"/>
              </w:rPr>
              <w:t>5、提供的资格、资质文件和业绩情况均真实有效，具有良好的商业信誉；</w:t>
            </w:r>
          </w:p>
          <w:p>
            <w:pPr>
              <w:pStyle w:val="25"/>
              <w:snapToGrid w:val="0"/>
              <w:ind w:firstLine="0" w:firstLineChars="0"/>
              <w:jc w:val="left"/>
              <w:rPr>
                <w:color w:val="auto"/>
                <w:highlight w:val="none"/>
              </w:rPr>
            </w:pPr>
            <w:r>
              <w:rPr>
                <w:rFonts w:hint="eastAsia"/>
                <w:color w:val="auto"/>
                <w:highlight w:val="none"/>
              </w:rPr>
              <w:t>6、参加政府采购活动前三年内，在经营活动中没有重大违法记录；</w:t>
            </w:r>
          </w:p>
          <w:p>
            <w:pPr>
              <w:pStyle w:val="25"/>
              <w:snapToGrid w:val="0"/>
              <w:ind w:firstLine="0" w:firstLineChars="0"/>
              <w:jc w:val="left"/>
              <w:rPr>
                <w:color w:val="auto"/>
                <w:highlight w:val="none"/>
              </w:rPr>
            </w:pPr>
            <w:r>
              <w:rPr>
                <w:rFonts w:hint="eastAsia"/>
                <w:color w:val="auto"/>
                <w:highlight w:val="none"/>
              </w:rPr>
              <w:t>7、供应商须满足《中华人民共和国政府采购法》第22条规定；</w:t>
            </w:r>
          </w:p>
          <w:p>
            <w:pPr>
              <w:pStyle w:val="25"/>
              <w:snapToGrid w:val="0"/>
              <w:ind w:firstLine="0" w:firstLineChars="0"/>
              <w:jc w:val="left"/>
              <w:rPr>
                <w:color w:val="auto"/>
                <w:highlight w:val="none"/>
              </w:rPr>
            </w:pPr>
            <w:r>
              <w:rPr>
                <w:rFonts w:hint="eastAsia"/>
                <w:color w:val="auto"/>
                <w:highlight w:val="none"/>
              </w:rPr>
              <w:t>8、遵守《中华人民共和国政府采购法》及相关法律、法规和规章；</w:t>
            </w:r>
          </w:p>
          <w:p>
            <w:pPr>
              <w:pStyle w:val="25"/>
              <w:snapToGrid w:val="0"/>
              <w:ind w:firstLine="0" w:firstLineChars="0"/>
              <w:jc w:val="left"/>
              <w:rPr>
                <w:color w:val="auto"/>
                <w:highlight w:val="none"/>
              </w:rPr>
            </w:pPr>
            <w:r>
              <w:rPr>
                <w:rFonts w:hint="eastAsia"/>
                <w:color w:val="auto"/>
                <w:highlight w:val="none"/>
              </w:rPr>
              <w:t>9、资格审查方式：资格后审；</w:t>
            </w:r>
          </w:p>
          <w:p>
            <w:pPr>
              <w:pStyle w:val="25"/>
              <w:snapToGrid w:val="0"/>
              <w:ind w:firstLine="0" w:firstLineChars="0"/>
              <w:jc w:val="left"/>
              <w:rPr>
                <w:color w:val="auto"/>
                <w:highlight w:val="none"/>
              </w:rPr>
            </w:pPr>
            <w:r>
              <w:rPr>
                <w:rFonts w:hint="eastAsia"/>
                <w:color w:val="auto"/>
                <w:highlight w:val="none"/>
              </w:rPr>
              <w:t>10、本项目不接受联合体投标；</w:t>
            </w:r>
          </w:p>
          <w:p>
            <w:pPr>
              <w:pStyle w:val="25"/>
              <w:snapToGrid w:val="0"/>
              <w:ind w:firstLine="0" w:firstLineChars="0"/>
              <w:jc w:val="left"/>
              <w:rPr>
                <w:color w:val="auto"/>
                <w:highlight w:val="none"/>
              </w:rPr>
            </w:pPr>
            <w:r>
              <w:rPr>
                <w:rFonts w:hint="eastAsia"/>
                <w:color w:val="auto"/>
                <w:highlight w:val="none"/>
              </w:rPr>
              <w:t>11、本项目兼投不兼中。</w:t>
            </w:r>
          </w:p>
        </w:tc>
      </w:tr>
    </w:tbl>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三、报名时间、地点及需要携带的证件：</w:t>
      </w:r>
    </w:p>
    <w:p>
      <w:pPr>
        <w:spacing w:line="360" w:lineRule="auto"/>
        <w:ind w:firstLine="480" w:firstLineChars="200"/>
        <w:rPr>
          <w:rFonts w:ascii="宋体" w:hAnsi="宋体" w:eastAsia="宋体" w:cs="宋体"/>
          <w:b/>
          <w:bCs/>
          <w:color w:val="auto"/>
          <w:sz w:val="24"/>
          <w:highlight w:val="none"/>
        </w:rPr>
      </w:pPr>
      <w:r>
        <w:rPr>
          <w:rFonts w:hint="eastAsia" w:ascii="宋体" w:hAnsi="宋体" w:eastAsia="宋体" w:cs="宋体"/>
          <w:color w:val="auto"/>
          <w:sz w:val="24"/>
          <w:highlight w:val="none"/>
        </w:rPr>
        <w:t>有意参加本项目的供应商请于2019年</w:t>
      </w: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日—2019年</w:t>
      </w: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13</w:t>
      </w:r>
      <w:r>
        <w:rPr>
          <w:rFonts w:hint="eastAsia" w:ascii="宋体" w:hAnsi="宋体" w:eastAsia="宋体" w:cs="宋体"/>
          <w:color w:val="auto"/>
          <w:sz w:val="24"/>
          <w:highlight w:val="none"/>
        </w:rPr>
        <w:t>日（上午8:00-12:00，下午13:30-17:30）到山东衡天咨询有限公司（地址：济宁市任城大道翠都国际A座22楼）报名，报名时请携带如下资料：</w:t>
      </w:r>
    </w:p>
    <w:p>
      <w:pPr>
        <w:spacing w:line="360" w:lineRule="auto"/>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A包：营业执照，资质证书，法定代表人授权委托书及被授权人身份证；B包：营业执照，资质证书，项目负责人证书，法定代表人授权委托书及被授权人身份证。以上证件需提供加盖单位公章的复印件一套。</w:t>
      </w:r>
    </w:p>
    <w:p>
      <w:pPr>
        <w:spacing w:line="360" w:lineRule="auto"/>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磋商文件费用：</w:t>
      </w:r>
      <w:r>
        <w:rPr>
          <w:rFonts w:hint="eastAsia" w:ascii="宋体" w:hAnsi="宋体" w:eastAsia="宋体" w:cs="宋体"/>
          <w:b/>
          <w:bCs/>
          <w:color w:val="auto"/>
          <w:sz w:val="24"/>
          <w:highlight w:val="none"/>
          <w:lang w:val="en-US" w:eastAsia="zh-CN"/>
        </w:rPr>
        <w:t>2</w:t>
      </w:r>
      <w:r>
        <w:rPr>
          <w:rFonts w:hint="eastAsia" w:ascii="宋体" w:hAnsi="宋体" w:eastAsia="宋体" w:cs="宋体"/>
          <w:b/>
          <w:bCs/>
          <w:color w:val="auto"/>
          <w:sz w:val="24"/>
          <w:highlight w:val="none"/>
        </w:rPr>
        <w:t>00元/</w:t>
      </w:r>
      <w:r>
        <w:rPr>
          <w:rFonts w:hint="eastAsia" w:ascii="宋体" w:hAnsi="宋体" w:eastAsia="宋体" w:cs="宋体"/>
          <w:b/>
          <w:bCs/>
          <w:color w:val="auto"/>
          <w:sz w:val="24"/>
          <w:highlight w:val="none"/>
          <w:lang w:eastAsia="zh-CN"/>
        </w:rPr>
        <w:t>包</w:t>
      </w:r>
      <w:r>
        <w:rPr>
          <w:rFonts w:hint="eastAsia" w:ascii="宋体" w:hAnsi="宋体" w:eastAsia="宋体" w:cs="宋体"/>
          <w:b/>
          <w:bCs/>
          <w:color w:val="auto"/>
          <w:sz w:val="24"/>
          <w:highlight w:val="none"/>
        </w:rPr>
        <w:t>，售后不退。</w:t>
      </w:r>
    </w:p>
    <w:p>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四、发布公告的媒介：中国采购与招标网上发布。</w:t>
      </w:r>
    </w:p>
    <w:p>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五、联系方式</w:t>
      </w:r>
    </w:p>
    <w:p>
      <w:pPr>
        <w:widowControl/>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color w:val="auto"/>
          <w:sz w:val="24"/>
          <w:highlight w:val="none"/>
        </w:rPr>
        <w:t>采购人：</w:t>
      </w:r>
      <w:r>
        <w:rPr>
          <w:rFonts w:hint="eastAsia" w:ascii="宋体" w:hAnsi="宋体" w:eastAsia="宋体" w:cs="宋体"/>
          <w:bCs/>
          <w:color w:val="auto"/>
          <w:sz w:val="24"/>
          <w:highlight w:val="none"/>
        </w:rPr>
        <w:t xml:space="preserve">济宁医学院  </w:t>
      </w:r>
    </w:p>
    <w:p>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bCs/>
          <w:color w:val="auto"/>
          <w:sz w:val="24"/>
          <w:highlight w:val="none"/>
        </w:rPr>
        <w:t>联系人：王主任     联系电话：0537-3616133</w:t>
      </w:r>
      <w:r>
        <w:rPr>
          <w:rFonts w:hint="eastAsia" w:ascii="宋体" w:hAnsi="宋体" w:eastAsia="宋体" w:cs="宋体"/>
          <w:color w:val="auto"/>
          <w:sz w:val="24"/>
          <w:highlight w:val="none"/>
        </w:rPr>
        <w:t xml:space="preserve">            </w:t>
      </w:r>
    </w:p>
    <w:p>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采购代理机构：山东衡天咨询有限公司</w:t>
      </w:r>
    </w:p>
    <w:p>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联系地址：济宁市任城大道翠都国际A座22楼</w:t>
      </w:r>
    </w:p>
    <w:p>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联系人：伊珍珍、梁汝壮    </w:t>
      </w:r>
    </w:p>
    <w:p>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联系电话：0537-2489666、13325175715 </w:t>
      </w:r>
    </w:p>
    <w:p>
      <w:pPr>
        <w:spacing w:line="360" w:lineRule="auto"/>
        <w:rPr>
          <w:rFonts w:ascii="宋体" w:hAnsi="宋体" w:eastAsia="宋体" w:cs="宋体"/>
          <w:color w:val="auto"/>
          <w:sz w:val="24"/>
          <w:highlight w:val="none"/>
        </w:rPr>
      </w:pPr>
    </w:p>
    <w:p>
      <w:pPr>
        <w:jc w:val="right"/>
        <w:rPr>
          <w:rFonts w:ascii="宋体" w:hAnsi="宋体" w:eastAsia="宋体" w:cs="宋体"/>
          <w:color w:val="auto"/>
          <w:highlight w:val="none"/>
        </w:rPr>
      </w:pPr>
      <w:r>
        <w:rPr>
          <w:rFonts w:hint="eastAsia" w:ascii="宋体" w:hAnsi="宋体" w:eastAsia="宋体" w:cs="宋体"/>
          <w:color w:val="auto"/>
          <w:sz w:val="24"/>
          <w:highlight w:val="none"/>
        </w:rPr>
        <w:t>2019年</w:t>
      </w: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日</w:t>
      </w:r>
    </w:p>
    <w:p>
      <w:pPr>
        <w:jc w:val="right"/>
        <w:rPr>
          <w:rFonts w:ascii="宋体" w:hAnsi="宋体" w:eastAsia="宋体" w:cs="宋体"/>
          <w:color w:val="auto"/>
          <w:sz w:val="24"/>
          <w:highlight w:val="none"/>
        </w:rPr>
      </w:pPr>
    </w:p>
    <w:p>
      <w:pPr>
        <w:jc w:val="right"/>
        <w:rPr>
          <w:rFonts w:ascii="宋体" w:hAnsi="宋体" w:eastAsia="宋体" w:cs="宋体"/>
          <w:color w:val="auto"/>
          <w:sz w:val="24"/>
          <w:highlight w:val="none"/>
        </w:rPr>
      </w:pPr>
    </w:p>
    <w:p>
      <w:pPr>
        <w:jc w:val="right"/>
        <w:rPr>
          <w:rFonts w:ascii="宋体" w:hAnsi="宋体" w:eastAsia="宋体" w:cs="宋体"/>
          <w:color w:val="auto"/>
          <w:sz w:val="24"/>
          <w:highlight w:val="none"/>
        </w:rPr>
      </w:pPr>
    </w:p>
    <w:p>
      <w:pPr>
        <w:jc w:val="right"/>
        <w:rPr>
          <w:rFonts w:ascii="宋体" w:hAnsi="宋体" w:eastAsia="宋体" w:cs="宋体"/>
          <w:color w:val="auto"/>
          <w:sz w:val="24"/>
          <w:highlight w:val="none"/>
        </w:rPr>
      </w:pPr>
    </w:p>
    <w:p>
      <w:pPr>
        <w:jc w:val="right"/>
        <w:rPr>
          <w:rFonts w:ascii="宋体" w:hAnsi="宋体" w:eastAsia="宋体" w:cs="宋体"/>
          <w:color w:val="auto"/>
          <w:sz w:val="24"/>
          <w:highlight w:val="none"/>
        </w:rPr>
      </w:pPr>
    </w:p>
    <w:p>
      <w:pPr>
        <w:jc w:val="right"/>
        <w:rPr>
          <w:rFonts w:ascii="宋体" w:hAnsi="宋体" w:eastAsia="宋体" w:cs="宋体"/>
          <w:color w:val="auto"/>
          <w:sz w:val="24"/>
          <w:highlight w:val="none"/>
        </w:rPr>
      </w:pPr>
    </w:p>
    <w:p>
      <w:pPr>
        <w:jc w:val="right"/>
        <w:rPr>
          <w:rFonts w:ascii="宋体" w:hAnsi="宋体" w:eastAsia="宋体" w:cs="宋体"/>
          <w:color w:val="auto"/>
          <w:sz w:val="24"/>
          <w:highlight w:val="none"/>
        </w:rPr>
      </w:pPr>
    </w:p>
    <w:p>
      <w:pPr>
        <w:jc w:val="right"/>
        <w:rPr>
          <w:rFonts w:ascii="宋体" w:hAnsi="宋体" w:eastAsia="宋体" w:cs="宋体"/>
          <w:color w:val="auto"/>
          <w:sz w:val="24"/>
          <w:highlight w:val="none"/>
        </w:rPr>
      </w:pPr>
    </w:p>
    <w:p>
      <w:pPr>
        <w:jc w:val="right"/>
        <w:rPr>
          <w:rFonts w:ascii="宋体" w:hAnsi="宋体" w:eastAsia="宋体" w:cs="宋体"/>
          <w:color w:val="auto"/>
          <w:sz w:val="24"/>
          <w:highlight w:val="none"/>
        </w:rPr>
      </w:pPr>
    </w:p>
    <w:p>
      <w:pPr>
        <w:jc w:val="right"/>
        <w:rPr>
          <w:rFonts w:ascii="宋体" w:hAnsi="宋体" w:eastAsia="宋体" w:cs="宋体"/>
          <w:color w:val="auto"/>
          <w:sz w:val="24"/>
          <w:highlight w:val="none"/>
        </w:rPr>
      </w:pPr>
      <w:bookmarkStart w:id="197" w:name="_GoBack"/>
      <w:bookmarkEnd w:id="197"/>
    </w:p>
    <w:p>
      <w:pPr>
        <w:jc w:val="right"/>
        <w:rPr>
          <w:rFonts w:ascii="宋体" w:hAnsi="宋体" w:eastAsia="宋体" w:cs="宋体"/>
          <w:color w:val="auto"/>
          <w:sz w:val="24"/>
          <w:highlight w:val="none"/>
        </w:rPr>
      </w:pPr>
    </w:p>
    <w:p>
      <w:pPr>
        <w:jc w:val="right"/>
        <w:rPr>
          <w:rFonts w:ascii="宋体" w:hAnsi="宋体" w:eastAsia="宋体" w:cs="宋体"/>
          <w:color w:val="auto"/>
          <w:sz w:val="24"/>
          <w:highlight w:val="none"/>
        </w:rPr>
      </w:pPr>
    </w:p>
    <w:p>
      <w:pPr>
        <w:jc w:val="right"/>
        <w:rPr>
          <w:rFonts w:ascii="宋体" w:hAnsi="宋体" w:eastAsia="宋体" w:cs="宋体"/>
          <w:color w:val="auto"/>
          <w:sz w:val="24"/>
          <w:highlight w:val="none"/>
        </w:rPr>
      </w:pPr>
    </w:p>
    <w:p>
      <w:pPr>
        <w:jc w:val="right"/>
        <w:rPr>
          <w:rFonts w:ascii="宋体" w:hAnsi="宋体" w:eastAsia="宋体" w:cs="宋体"/>
          <w:color w:val="auto"/>
          <w:sz w:val="24"/>
          <w:highlight w:val="none"/>
        </w:rPr>
      </w:pPr>
    </w:p>
    <w:p>
      <w:pPr>
        <w:jc w:val="right"/>
        <w:rPr>
          <w:rFonts w:ascii="宋体" w:hAnsi="宋体" w:eastAsia="宋体" w:cs="宋体"/>
          <w:color w:val="auto"/>
          <w:sz w:val="24"/>
          <w:highlight w:val="none"/>
        </w:rPr>
      </w:pPr>
    </w:p>
    <w:p>
      <w:pPr>
        <w:jc w:val="right"/>
        <w:rPr>
          <w:rFonts w:ascii="宋体" w:hAnsi="宋体" w:eastAsia="宋体" w:cs="宋体"/>
          <w:color w:val="auto"/>
          <w:sz w:val="24"/>
          <w:highlight w:val="none"/>
        </w:rPr>
      </w:pPr>
    </w:p>
    <w:p>
      <w:pPr>
        <w:pStyle w:val="25"/>
        <w:rPr>
          <w:color w:val="auto"/>
          <w:highlight w:val="none"/>
        </w:rPr>
      </w:pPr>
    </w:p>
    <w:p>
      <w:pPr>
        <w:jc w:val="right"/>
        <w:rPr>
          <w:rFonts w:ascii="宋体" w:hAnsi="宋体" w:eastAsia="宋体" w:cs="宋体"/>
          <w:color w:val="auto"/>
          <w:sz w:val="24"/>
          <w:highlight w:val="none"/>
        </w:rPr>
      </w:pPr>
    </w:p>
    <w:p>
      <w:pPr>
        <w:pStyle w:val="3"/>
        <w:keepNext w:val="0"/>
        <w:keepLines w:val="0"/>
        <w:topLinePunct/>
        <w:spacing w:before="0" w:after="0" w:line="360" w:lineRule="auto"/>
        <w:rPr>
          <w:rFonts w:ascii="宋体" w:hAnsi="宋体" w:eastAsia="宋体" w:cs="宋体"/>
          <w:color w:val="auto"/>
          <w:highlight w:val="none"/>
        </w:rPr>
      </w:pPr>
      <w:r>
        <w:rPr>
          <w:rFonts w:hint="eastAsia" w:ascii="宋体" w:hAnsi="宋体" w:eastAsia="宋体" w:cs="宋体"/>
          <w:color w:val="auto"/>
          <w:highlight w:val="none"/>
        </w:rPr>
        <w:t>第二章 供应商须知</w:t>
      </w:r>
      <w:bookmarkEnd w:id="3"/>
    </w:p>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一、供应商须知前附表</w:t>
      </w:r>
    </w:p>
    <w:tbl>
      <w:tblPr>
        <w:tblStyle w:val="20"/>
        <w:tblW w:w="10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178"/>
        <w:gridCol w:w="7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217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项   目</w:t>
            </w:r>
          </w:p>
        </w:tc>
        <w:tc>
          <w:tcPr>
            <w:tcW w:w="7409" w:type="dxa"/>
            <w:tcBorders>
              <w:top w:val="single" w:color="auto" w:sz="4" w:space="0"/>
              <w:left w:val="single" w:color="auto" w:sz="4" w:space="0"/>
              <w:bottom w:val="single" w:color="auto" w:sz="4" w:space="0"/>
              <w:right w:val="single" w:color="auto" w:sz="4" w:space="0"/>
            </w:tcBorders>
            <w:vAlign w:val="center"/>
          </w:tcPr>
          <w:p>
            <w:pPr>
              <w:spacing w:line="440" w:lineRule="exact"/>
              <w:ind w:firstLine="482" w:firstLineChars="200"/>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spacing w:line="440" w:lineRule="exact"/>
              <w:ind w:firstLine="240" w:firstLineChars="100"/>
              <w:jc w:val="center"/>
              <w:rPr>
                <w:rFonts w:ascii="宋体" w:hAnsi="宋体" w:eastAsia="宋体" w:cs="宋体"/>
                <w:color w:val="auto"/>
                <w:sz w:val="24"/>
                <w:highlight w:val="none"/>
              </w:rPr>
            </w:pPr>
            <w:r>
              <w:rPr>
                <w:rFonts w:hint="eastAsia" w:ascii="宋体" w:hAnsi="宋体" w:eastAsia="宋体" w:cs="宋体"/>
                <w:color w:val="auto"/>
                <w:sz w:val="24"/>
                <w:highlight w:val="none"/>
              </w:rPr>
              <w:t>1</w:t>
            </w:r>
          </w:p>
        </w:tc>
        <w:tc>
          <w:tcPr>
            <w:tcW w:w="217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项目名称、</w:t>
            </w:r>
          </w:p>
          <w:p>
            <w:pPr>
              <w:spacing w:line="440" w:lineRule="exact"/>
              <w:ind w:right="480"/>
              <w:jc w:val="center"/>
              <w:rPr>
                <w:rFonts w:ascii="宋体" w:hAnsi="宋体" w:eastAsia="宋体" w:cs="宋体"/>
                <w:color w:val="auto"/>
                <w:sz w:val="24"/>
                <w:highlight w:val="none"/>
              </w:rPr>
            </w:pPr>
            <w:r>
              <w:rPr>
                <w:rFonts w:hint="eastAsia" w:ascii="宋体" w:hAnsi="宋体" w:eastAsia="宋体" w:cs="宋体"/>
                <w:color w:val="auto"/>
                <w:sz w:val="24"/>
                <w:highlight w:val="none"/>
              </w:rPr>
              <w:t xml:space="preserve">  项目编号</w:t>
            </w:r>
          </w:p>
        </w:tc>
        <w:tc>
          <w:tcPr>
            <w:tcW w:w="7409"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项目名称：济宁医学院太白湖校区消防系统维保、零星消防工程施工服务项目（B包）</w:t>
            </w:r>
          </w:p>
          <w:p>
            <w:pPr>
              <w:widowControl/>
              <w:adjustRightIn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项目编号：HT-2019-CG-132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spacing w:line="440" w:lineRule="exact"/>
              <w:ind w:firstLine="240" w:firstLineChars="100"/>
              <w:jc w:val="center"/>
              <w:rPr>
                <w:rFonts w:ascii="宋体" w:hAnsi="宋体" w:eastAsia="宋体" w:cs="宋体"/>
                <w:color w:val="auto"/>
                <w:sz w:val="24"/>
                <w:highlight w:val="none"/>
              </w:rPr>
            </w:pPr>
            <w:r>
              <w:rPr>
                <w:rFonts w:hint="eastAsia" w:ascii="宋体" w:hAnsi="宋体" w:eastAsia="宋体" w:cs="宋体"/>
                <w:color w:val="auto"/>
                <w:sz w:val="24"/>
                <w:highlight w:val="none"/>
              </w:rPr>
              <w:t>2</w:t>
            </w:r>
          </w:p>
        </w:tc>
        <w:tc>
          <w:tcPr>
            <w:tcW w:w="217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采购内容</w:t>
            </w:r>
          </w:p>
        </w:tc>
        <w:tc>
          <w:tcPr>
            <w:tcW w:w="7409"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本项目为济宁医学院太白湖校区消防系统维保、零星消防工程施工服务项目（B包），具体内容详见项目说明。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spacing w:line="440" w:lineRule="exact"/>
              <w:ind w:firstLine="240" w:firstLineChars="100"/>
              <w:jc w:val="center"/>
              <w:rPr>
                <w:rFonts w:ascii="宋体" w:hAnsi="宋体" w:eastAsia="宋体" w:cs="宋体"/>
                <w:color w:val="auto"/>
                <w:sz w:val="24"/>
                <w:highlight w:val="none"/>
              </w:rPr>
            </w:pPr>
            <w:r>
              <w:rPr>
                <w:rFonts w:hint="eastAsia" w:ascii="宋体" w:hAnsi="宋体" w:eastAsia="宋体" w:cs="宋体"/>
                <w:color w:val="auto"/>
                <w:sz w:val="24"/>
                <w:highlight w:val="none"/>
              </w:rPr>
              <w:t>3</w:t>
            </w:r>
          </w:p>
        </w:tc>
        <w:tc>
          <w:tcPr>
            <w:tcW w:w="217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采购人、联系人及联系电话</w:t>
            </w:r>
          </w:p>
        </w:tc>
        <w:tc>
          <w:tcPr>
            <w:tcW w:w="7409"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采购人：</w:t>
            </w:r>
            <w:r>
              <w:rPr>
                <w:rFonts w:hint="eastAsia" w:ascii="宋体" w:hAnsi="宋体" w:eastAsia="宋体" w:cs="宋体"/>
                <w:bCs/>
                <w:color w:val="auto"/>
                <w:sz w:val="24"/>
                <w:highlight w:val="none"/>
              </w:rPr>
              <w:t>济宁医学院</w:t>
            </w:r>
          </w:p>
          <w:p>
            <w:pPr>
              <w:spacing w:line="440" w:lineRule="exact"/>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联系人：王主任</w:t>
            </w:r>
          </w:p>
          <w:p>
            <w:pPr>
              <w:spacing w:line="440" w:lineRule="exact"/>
              <w:jc w:val="left"/>
              <w:rPr>
                <w:rFonts w:ascii="宋体" w:hAnsi="宋体" w:eastAsia="宋体" w:cs="宋体"/>
                <w:color w:val="auto"/>
                <w:sz w:val="24"/>
                <w:highlight w:val="none"/>
              </w:rPr>
            </w:pPr>
            <w:r>
              <w:rPr>
                <w:rFonts w:hint="eastAsia" w:ascii="宋体" w:hAnsi="宋体" w:eastAsia="宋体" w:cs="宋体"/>
                <w:bCs/>
                <w:color w:val="auto"/>
                <w:sz w:val="24"/>
                <w:highlight w:val="none"/>
              </w:rPr>
              <w:t>联系电话：0537-3616133</w:t>
            </w: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spacing w:line="440" w:lineRule="exact"/>
              <w:ind w:firstLine="240" w:firstLineChars="100"/>
              <w:jc w:val="center"/>
              <w:rPr>
                <w:rFonts w:ascii="宋体" w:hAnsi="宋体" w:eastAsia="宋体" w:cs="宋体"/>
                <w:color w:val="auto"/>
                <w:sz w:val="24"/>
                <w:highlight w:val="none"/>
              </w:rPr>
            </w:pPr>
            <w:r>
              <w:rPr>
                <w:rFonts w:hint="eastAsia" w:ascii="宋体" w:hAnsi="宋体" w:eastAsia="宋体" w:cs="宋体"/>
                <w:color w:val="auto"/>
                <w:sz w:val="24"/>
                <w:highlight w:val="none"/>
              </w:rPr>
              <w:t>4</w:t>
            </w:r>
          </w:p>
        </w:tc>
        <w:tc>
          <w:tcPr>
            <w:tcW w:w="217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采购代理机构、联系人及联系电话</w:t>
            </w:r>
          </w:p>
        </w:tc>
        <w:tc>
          <w:tcPr>
            <w:tcW w:w="7409"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采购代理机构： 山东衡天咨询有限公司</w:t>
            </w:r>
          </w:p>
          <w:p>
            <w:pPr>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联系地址：济宁市任城大道翠都国际A座22楼</w:t>
            </w:r>
          </w:p>
          <w:p>
            <w:pPr>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联系人：伊珍珍、梁汝壮    </w:t>
            </w:r>
          </w:p>
          <w:p>
            <w:pPr>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联系电话：0537-2489666、13325175715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spacing w:line="440" w:lineRule="exact"/>
              <w:ind w:firstLine="240" w:firstLineChars="100"/>
              <w:jc w:val="center"/>
              <w:rPr>
                <w:rFonts w:ascii="宋体" w:hAnsi="宋体" w:eastAsia="宋体" w:cs="宋体"/>
                <w:color w:val="auto"/>
                <w:sz w:val="24"/>
                <w:highlight w:val="none"/>
              </w:rPr>
            </w:pPr>
            <w:r>
              <w:rPr>
                <w:rFonts w:hint="eastAsia" w:ascii="宋体" w:hAnsi="宋体" w:eastAsia="宋体" w:cs="宋体"/>
                <w:color w:val="auto"/>
                <w:sz w:val="24"/>
                <w:highlight w:val="none"/>
              </w:rPr>
              <w:t>5</w:t>
            </w:r>
          </w:p>
        </w:tc>
        <w:tc>
          <w:tcPr>
            <w:tcW w:w="2178"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采购方式</w:t>
            </w:r>
          </w:p>
        </w:tc>
        <w:tc>
          <w:tcPr>
            <w:tcW w:w="7409"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spacing w:line="440" w:lineRule="exact"/>
              <w:ind w:firstLine="240" w:firstLineChars="100"/>
              <w:jc w:val="center"/>
              <w:rPr>
                <w:rFonts w:ascii="宋体" w:hAnsi="宋体" w:eastAsia="宋体" w:cs="宋体"/>
                <w:color w:val="auto"/>
                <w:sz w:val="24"/>
                <w:highlight w:val="none"/>
              </w:rPr>
            </w:pPr>
            <w:r>
              <w:rPr>
                <w:rFonts w:hint="eastAsia" w:ascii="宋体" w:hAnsi="宋体" w:eastAsia="宋体" w:cs="宋体"/>
                <w:color w:val="auto"/>
                <w:sz w:val="24"/>
                <w:highlight w:val="none"/>
              </w:rPr>
              <w:t>6</w:t>
            </w:r>
          </w:p>
        </w:tc>
        <w:tc>
          <w:tcPr>
            <w:tcW w:w="2178"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资金来源</w:t>
            </w:r>
          </w:p>
        </w:tc>
        <w:tc>
          <w:tcPr>
            <w:tcW w:w="7409"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40" w:lineRule="exact"/>
              <w:ind w:firstLine="240" w:firstLineChars="100"/>
              <w:jc w:val="center"/>
              <w:rPr>
                <w:rFonts w:ascii="宋体" w:hAnsi="宋体" w:eastAsia="宋体" w:cs="宋体"/>
                <w:color w:val="auto"/>
                <w:sz w:val="24"/>
                <w:highlight w:val="none"/>
              </w:rPr>
            </w:pPr>
            <w:r>
              <w:rPr>
                <w:rFonts w:hint="eastAsia" w:ascii="宋体" w:hAnsi="宋体" w:eastAsia="宋体" w:cs="宋体"/>
                <w:color w:val="auto"/>
                <w:sz w:val="24"/>
                <w:highlight w:val="none"/>
              </w:rPr>
              <w:t>7</w:t>
            </w:r>
          </w:p>
        </w:tc>
        <w:tc>
          <w:tcPr>
            <w:tcW w:w="21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采购预算</w:t>
            </w:r>
          </w:p>
        </w:tc>
        <w:tc>
          <w:tcPr>
            <w:tcW w:w="7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pacing w:line="440" w:lineRule="exact"/>
              <w:rPr>
                <w:rFonts w:hint="eastAsia" w:ascii="宋体" w:hAnsi="宋体" w:eastAsia="宋体" w:cs="宋体"/>
                <w:b/>
                <w:color w:val="auto"/>
                <w:sz w:val="24"/>
                <w:highlight w:val="none"/>
                <w:lang w:val="en-US" w:eastAsia="zh-CN"/>
              </w:rPr>
            </w:pPr>
            <w:r>
              <w:rPr>
                <w:rFonts w:ascii="宋体" w:hAnsi="宋体" w:eastAsia="宋体" w:cs="宋体"/>
                <w:b/>
                <w:color w:val="auto"/>
                <w:sz w:val="24"/>
                <w:highlight w:val="none"/>
              </w:rPr>
              <w:t>类别按照三类取费，执行山东省2016年《山东省建筑工程消耗量定额》、《山东省安装工程消耗量定额》、对应的费用组成文件及价目表，</w:t>
            </w:r>
            <w:r>
              <w:rPr>
                <w:rFonts w:hint="eastAsia" w:ascii="宋体" w:hAnsi="宋体" w:eastAsia="宋体" w:cs="宋体"/>
                <w:b/>
                <w:color w:val="auto"/>
                <w:sz w:val="24"/>
                <w:highlight w:val="none"/>
              </w:rPr>
              <w:t>如涉及主材、设备价格的项目，执行甲方批价</w:t>
            </w:r>
            <w:r>
              <w:rPr>
                <w:rFonts w:ascii="宋体" w:hAnsi="宋体" w:eastAsia="宋体" w:cs="宋体"/>
                <w:b/>
                <w:color w:val="auto"/>
                <w:sz w:val="24"/>
                <w:highlight w:val="none"/>
              </w:rPr>
              <w:t>。审计后税前让利比例：</w:t>
            </w:r>
            <w:r>
              <w:rPr>
                <w:rFonts w:hint="eastAsia" w:ascii="宋体" w:hAnsi="宋体" w:eastAsia="宋体" w:cs="宋体"/>
                <w:b/>
                <w:color w:val="auto"/>
                <w:sz w:val="24"/>
                <w:highlight w:val="none"/>
              </w:rPr>
              <w:t>不低于</w:t>
            </w:r>
            <w:r>
              <w:rPr>
                <w:rFonts w:hint="eastAsia" w:ascii="宋体" w:hAnsi="宋体" w:eastAsia="宋体" w:cs="宋体"/>
                <w:b/>
                <w:color w:val="auto"/>
                <w:sz w:val="24"/>
                <w:highlight w:val="none"/>
                <w:u w:val="single"/>
              </w:rPr>
              <w:t xml:space="preserve"> 5 </w:t>
            </w:r>
            <w:r>
              <w:rPr>
                <w:rFonts w:ascii="宋体" w:hAnsi="宋体" w:eastAsia="宋体" w:cs="宋体"/>
                <w:b/>
                <w:color w:val="auto"/>
                <w:sz w:val="24"/>
                <w:highlight w:val="none"/>
              </w:rPr>
              <w:t>%</w:t>
            </w:r>
            <w:r>
              <w:rPr>
                <w:rFonts w:hint="eastAsia" w:ascii="宋体" w:hAnsi="宋体" w:eastAsia="宋体" w:cs="宋体"/>
                <w:b/>
                <w:color w:val="auto"/>
                <w:sz w:val="24"/>
                <w:highlight w:val="none"/>
                <w:lang w:eastAsia="zh-CN"/>
              </w:rPr>
              <w:t>。</w:t>
            </w:r>
          </w:p>
          <w:p>
            <w:pPr>
              <w:widowControl/>
              <w:adjustRightInd w:val="0"/>
              <w:spacing w:line="440" w:lineRule="exact"/>
              <w:ind w:firstLine="482" w:firstLineChars="200"/>
              <w:rPr>
                <w:rFonts w:ascii="宋体" w:hAnsi="宋体" w:eastAsia="宋体" w:cs="宋体"/>
                <w:b/>
                <w:color w:val="auto"/>
                <w:sz w:val="24"/>
                <w:highlight w:val="none"/>
              </w:rPr>
            </w:pPr>
            <w:r>
              <w:rPr>
                <w:rFonts w:ascii="宋体" w:hAnsi="宋体" w:eastAsia="宋体" w:cs="宋体"/>
                <w:b/>
                <w:color w:val="auto"/>
                <w:sz w:val="24"/>
                <w:highlight w:val="none"/>
              </w:rPr>
              <w:t>供应商的让利比例报价（包含第一次让利比例报价）不得低于</w:t>
            </w:r>
            <w:r>
              <w:rPr>
                <w:rFonts w:hint="eastAsia" w:ascii="宋体" w:hAnsi="宋体" w:eastAsia="宋体" w:cs="宋体"/>
                <w:b/>
                <w:color w:val="auto"/>
                <w:sz w:val="24"/>
                <w:highlight w:val="none"/>
              </w:rPr>
              <w:t>5</w:t>
            </w:r>
            <w:r>
              <w:rPr>
                <w:rFonts w:ascii="宋体" w:hAnsi="宋体" w:eastAsia="宋体" w:cs="宋体"/>
                <w:b/>
                <w:color w:val="auto"/>
                <w:sz w:val="24"/>
                <w:highlight w:val="none"/>
              </w:rPr>
              <w:t>%，低于</w:t>
            </w:r>
            <w:r>
              <w:rPr>
                <w:rFonts w:hint="eastAsia" w:ascii="宋体" w:hAnsi="宋体" w:eastAsia="宋体" w:cs="宋体"/>
                <w:b/>
                <w:color w:val="auto"/>
                <w:sz w:val="24"/>
                <w:highlight w:val="none"/>
              </w:rPr>
              <w:t>5</w:t>
            </w:r>
            <w:r>
              <w:rPr>
                <w:rFonts w:ascii="宋体" w:hAnsi="宋体" w:eastAsia="宋体" w:cs="宋体"/>
                <w:b/>
                <w:color w:val="auto"/>
                <w:sz w:val="24"/>
                <w:highlight w:val="none"/>
              </w:rPr>
              <w:t>%（包含第一次让利比例报价）的让利比例报价按无效报价处理。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Cs w:val="21"/>
                <w:highlight w:val="none"/>
              </w:rPr>
              <w:t>8</w:t>
            </w:r>
          </w:p>
        </w:tc>
        <w:tc>
          <w:tcPr>
            <w:tcW w:w="21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服务期</w:t>
            </w:r>
          </w:p>
        </w:tc>
        <w:tc>
          <w:tcPr>
            <w:tcW w:w="7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pacing w:line="44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highlight w:val="none"/>
              </w:rPr>
              <w:t>9</w:t>
            </w:r>
          </w:p>
        </w:tc>
        <w:tc>
          <w:tcPr>
            <w:tcW w:w="21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服务要求</w:t>
            </w:r>
          </w:p>
        </w:tc>
        <w:tc>
          <w:tcPr>
            <w:tcW w:w="7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pacing w:line="44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符合国家规定的服务要求和采购文件第三章“项目说明”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highlight w:val="none"/>
              </w:rPr>
              <w:t>10</w:t>
            </w:r>
          </w:p>
        </w:tc>
        <w:tc>
          <w:tcPr>
            <w:tcW w:w="2178"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安全要求</w:t>
            </w:r>
          </w:p>
        </w:tc>
        <w:tc>
          <w:tcPr>
            <w:tcW w:w="7409"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符合国家安全生产管理相关规定。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auto"/>
                <w:highlight w:val="none"/>
              </w:rPr>
            </w:pPr>
            <w:r>
              <w:rPr>
                <w:rFonts w:hint="eastAsia" w:ascii="宋体" w:hAnsi="宋体" w:eastAsia="宋体" w:cs="宋体"/>
                <w:color w:val="auto"/>
                <w:highlight w:val="none"/>
              </w:rPr>
              <w:t>11</w:t>
            </w:r>
          </w:p>
        </w:tc>
        <w:tc>
          <w:tcPr>
            <w:tcW w:w="2178"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付款方式</w:t>
            </w:r>
          </w:p>
        </w:tc>
        <w:tc>
          <w:tcPr>
            <w:tcW w:w="7409"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360" w:lineRule="auto"/>
              <w:rPr>
                <w:color w:val="auto"/>
                <w:highlight w:val="none"/>
              </w:rPr>
            </w:pPr>
            <w:r>
              <w:rPr>
                <w:rFonts w:hint="eastAsia" w:ascii="宋体" w:hAnsi="宋体" w:eastAsia="宋体" w:cs="宋体"/>
                <w:b/>
                <w:bCs/>
                <w:color w:val="auto"/>
                <w:kern w:val="0"/>
                <w:sz w:val="24"/>
                <w:highlight w:val="none"/>
              </w:rPr>
              <w:t>甲方每半年结算一次工程款项，工程结算前必须由甲方主管部门验收合格</w:t>
            </w:r>
            <w:r>
              <w:rPr>
                <w:rFonts w:hint="eastAsia" w:ascii="宋体" w:hAnsi="宋体" w:eastAsia="宋体" w:cs="宋体"/>
                <w:b/>
                <w:bCs/>
                <w:color w:val="auto"/>
                <w:kern w:val="0"/>
                <w:sz w:val="24"/>
                <w:highlight w:val="none"/>
                <w:lang w:eastAsia="zh-CN"/>
              </w:rPr>
              <w:t>，并经审计后据实结算</w:t>
            </w:r>
            <w:r>
              <w:rPr>
                <w:rFonts w:hint="eastAsia" w:ascii="宋体" w:hAnsi="宋体" w:eastAsia="宋体" w:cs="宋体"/>
                <w:b/>
                <w:bCs/>
                <w:color w:val="auto"/>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12</w:t>
            </w:r>
          </w:p>
        </w:tc>
        <w:tc>
          <w:tcPr>
            <w:tcW w:w="2178"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资格审查及递交响应文件时需携带的证件</w:t>
            </w:r>
          </w:p>
        </w:tc>
        <w:tc>
          <w:tcPr>
            <w:tcW w:w="7409"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1、供应商应将所提供的需要磋商小组验证的相关资格证件营业执照原件，资质证书原件，项目负责人证书原件。</w:t>
            </w:r>
            <w:r>
              <w:rPr>
                <w:rFonts w:hint="eastAsia" w:ascii="宋体" w:hAnsi="宋体" w:eastAsia="宋体" w:cs="宋体"/>
                <w:b/>
                <w:bCs/>
                <w:color w:val="auto"/>
                <w:sz w:val="24"/>
                <w:highlight w:val="none"/>
              </w:rPr>
              <w:t>（如供应商因特殊原因暂时无法提供以上证件的原件，同意接受以上证件加盖公章的复印件，在合同签订前须向采购人出具各证件原件接受审查）</w:t>
            </w:r>
            <w:r>
              <w:rPr>
                <w:rFonts w:hint="eastAsia" w:ascii="宋体" w:hAnsi="宋体" w:eastAsia="宋体" w:cs="宋体"/>
                <w:color w:val="auto"/>
                <w:sz w:val="24"/>
                <w:highlight w:val="none"/>
              </w:rPr>
              <w:t>。密封包装，在递交响应文件时一并提交，否则将做无效报价处理。</w:t>
            </w:r>
          </w:p>
          <w:p>
            <w:pPr>
              <w:widowControl/>
              <w:adjustRightIn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2、供应商还应将需要磋商小组验证的相关人员、业绩信誉证件资料原件和财务报表原件与上述资格证件放在同一密封袋中密封包装，在递交响应文件时一并提交。否则评分办法中相应条款不予计分。</w:t>
            </w:r>
          </w:p>
          <w:p>
            <w:pPr>
              <w:widowControl/>
              <w:adjustRightIn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3、响应文件递交截止时间后提交的相关证件，不予接受。</w:t>
            </w:r>
          </w:p>
          <w:p>
            <w:pPr>
              <w:widowControl/>
              <w:adjustRightIn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4、供应商所提供的所有证件及业绩应真实有效，否则将做无效响应处理。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spacing w:line="440" w:lineRule="exact"/>
              <w:ind w:firstLine="240" w:firstLineChars="100"/>
              <w:jc w:val="center"/>
              <w:rPr>
                <w:rFonts w:ascii="宋体" w:hAnsi="宋体" w:eastAsia="宋体" w:cs="宋体"/>
                <w:color w:val="auto"/>
                <w:sz w:val="24"/>
                <w:highlight w:val="none"/>
              </w:rPr>
            </w:pPr>
            <w:r>
              <w:rPr>
                <w:rFonts w:hint="eastAsia" w:ascii="宋体" w:hAnsi="宋体" w:eastAsia="宋体" w:cs="宋体"/>
                <w:color w:val="auto"/>
                <w:sz w:val="24"/>
                <w:highlight w:val="none"/>
              </w:rPr>
              <w:t>13</w:t>
            </w:r>
          </w:p>
        </w:tc>
        <w:tc>
          <w:tcPr>
            <w:tcW w:w="2178"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参加磋商会议时供应商需要携带的</w:t>
            </w:r>
          </w:p>
          <w:p>
            <w:pPr>
              <w:widowControl/>
              <w:adjustRightInd w:val="0"/>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证件</w:t>
            </w:r>
          </w:p>
        </w:tc>
        <w:tc>
          <w:tcPr>
            <w:tcW w:w="7409"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1、供应商的法定代表人（或其委托代理人）应按时参加磋商会议。</w:t>
            </w:r>
          </w:p>
          <w:p>
            <w:pPr>
              <w:widowControl/>
              <w:adjustRightIn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2、供应商法定代表人参加磋商会议的，需提交其身份证原件；委托代理人参加磋商会议的，需提交其身份证原件及针对本项目的授权委托书原件。（不必密封）</w:t>
            </w:r>
          </w:p>
          <w:p>
            <w:pPr>
              <w:widowControl/>
              <w:adjustRightInd w:val="0"/>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未按规定提交证件的供应商，其响应文件将被拒绝。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spacing w:line="440" w:lineRule="exact"/>
              <w:ind w:firstLine="240" w:firstLineChars="100"/>
              <w:jc w:val="center"/>
              <w:rPr>
                <w:rFonts w:ascii="宋体" w:hAnsi="宋体" w:eastAsia="宋体" w:cs="宋体"/>
                <w:color w:val="auto"/>
                <w:sz w:val="24"/>
                <w:highlight w:val="none"/>
              </w:rPr>
            </w:pPr>
            <w:r>
              <w:rPr>
                <w:rFonts w:hint="eastAsia" w:ascii="宋体" w:hAnsi="宋体" w:eastAsia="宋体" w:cs="宋体"/>
                <w:color w:val="auto"/>
                <w:sz w:val="24"/>
                <w:highlight w:val="none"/>
              </w:rPr>
              <w:t>14</w:t>
            </w:r>
          </w:p>
        </w:tc>
        <w:tc>
          <w:tcPr>
            <w:tcW w:w="2178"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供应商提报虚假材料应承担的责任</w:t>
            </w:r>
          </w:p>
        </w:tc>
        <w:tc>
          <w:tcPr>
            <w:tcW w:w="7409"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供应商必须对其响应文件中提供各种资料、说明的真实性负责。在评标过程中，发现供应商有为谋取成交而提供虚假资料欺骗采购人和磋商小组的行为，将取消其成交资格。定标后，采购人有可能对成交供应商响应文件中的承诺内容和证明材料进行核查，成交供应商应无条件配合采购人的核查工作，不得托词拒绝核查或隐瞒真实情况。发现成交供应商是提供虚假材料谋取成交等违法违规行为，采购人将取消其成交供应商资格，给采购人造成损失的，还必须进行赔偿并负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spacing w:line="440" w:lineRule="exact"/>
              <w:ind w:firstLine="240" w:firstLineChars="100"/>
              <w:jc w:val="center"/>
              <w:rPr>
                <w:rFonts w:ascii="宋体" w:hAnsi="宋体" w:eastAsia="宋体" w:cs="宋体"/>
                <w:color w:val="auto"/>
                <w:sz w:val="24"/>
                <w:highlight w:val="none"/>
              </w:rPr>
            </w:pPr>
            <w:r>
              <w:rPr>
                <w:rFonts w:hint="eastAsia" w:ascii="宋体" w:hAnsi="宋体" w:eastAsia="宋体" w:cs="宋体"/>
                <w:color w:val="auto"/>
                <w:sz w:val="24"/>
                <w:highlight w:val="none"/>
              </w:rPr>
              <w:t>15</w:t>
            </w:r>
          </w:p>
        </w:tc>
        <w:tc>
          <w:tcPr>
            <w:tcW w:w="2178"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磋商有效期</w:t>
            </w:r>
          </w:p>
        </w:tc>
        <w:tc>
          <w:tcPr>
            <w:tcW w:w="7409"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从提交响应文件截止之日起90日历天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spacing w:line="440" w:lineRule="exact"/>
              <w:ind w:firstLine="240" w:firstLineChars="100"/>
              <w:jc w:val="center"/>
              <w:rPr>
                <w:rFonts w:ascii="宋体" w:hAnsi="宋体" w:eastAsia="宋体" w:cs="宋体"/>
                <w:color w:val="auto"/>
                <w:sz w:val="24"/>
                <w:highlight w:val="none"/>
              </w:rPr>
            </w:pPr>
            <w:r>
              <w:rPr>
                <w:rFonts w:hint="eastAsia" w:ascii="宋体" w:hAnsi="宋体" w:eastAsia="宋体" w:cs="宋体"/>
                <w:color w:val="auto"/>
                <w:sz w:val="24"/>
                <w:highlight w:val="none"/>
              </w:rPr>
              <w:t>16</w:t>
            </w:r>
          </w:p>
        </w:tc>
        <w:tc>
          <w:tcPr>
            <w:tcW w:w="2178"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响应文件份数</w:t>
            </w:r>
          </w:p>
        </w:tc>
        <w:tc>
          <w:tcPr>
            <w:tcW w:w="7409"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正本壹份、副本肆份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spacing w:line="440" w:lineRule="exact"/>
              <w:ind w:firstLine="240" w:firstLineChars="100"/>
              <w:jc w:val="center"/>
              <w:rPr>
                <w:rFonts w:ascii="宋体" w:hAnsi="宋体" w:eastAsia="宋体" w:cs="宋体"/>
                <w:color w:val="auto"/>
                <w:sz w:val="24"/>
                <w:highlight w:val="none"/>
              </w:rPr>
            </w:pPr>
            <w:r>
              <w:rPr>
                <w:rFonts w:hint="eastAsia" w:ascii="宋体" w:hAnsi="宋体" w:eastAsia="宋体" w:cs="宋体"/>
                <w:color w:val="auto"/>
                <w:sz w:val="24"/>
                <w:highlight w:val="none"/>
              </w:rPr>
              <w:t>17</w:t>
            </w:r>
          </w:p>
        </w:tc>
        <w:tc>
          <w:tcPr>
            <w:tcW w:w="2178"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递交纸质响应文件截止时间</w:t>
            </w:r>
          </w:p>
        </w:tc>
        <w:tc>
          <w:tcPr>
            <w:tcW w:w="7409"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2019年</w:t>
            </w: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val="en-US" w:eastAsia="zh-CN"/>
              </w:rPr>
              <w:t>9:00</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lang w:eastAsia="zh-CN"/>
              </w:rPr>
              <w:t>前</w:t>
            </w:r>
            <w:r>
              <w:rPr>
                <w:rFonts w:hint="eastAsia" w:ascii="宋体" w:hAnsi="宋体" w:eastAsia="宋体" w:cs="宋体"/>
                <w:color w:val="auto"/>
                <w:sz w:val="24"/>
                <w:highlight w:val="none"/>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spacing w:line="440" w:lineRule="exact"/>
              <w:ind w:firstLine="240" w:firstLineChars="100"/>
              <w:jc w:val="center"/>
              <w:rPr>
                <w:rFonts w:ascii="宋体" w:hAnsi="宋体" w:eastAsia="宋体" w:cs="宋体"/>
                <w:color w:val="auto"/>
                <w:sz w:val="24"/>
                <w:highlight w:val="none"/>
              </w:rPr>
            </w:pPr>
            <w:r>
              <w:rPr>
                <w:rFonts w:hint="eastAsia" w:ascii="宋体" w:hAnsi="宋体" w:eastAsia="宋体" w:cs="宋体"/>
                <w:color w:val="auto"/>
                <w:sz w:val="24"/>
                <w:highlight w:val="none"/>
              </w:rPr>
              <w:t>18</w:t>
            </w:r>
          </w:p>
        </w:tc>
        <w:tc>
          <w:tcPr>
            <w:tcW w:w="2178"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jc w:val="center"/>
              <w:rPr>
                <w:rFonts w:ascii="宋体" w:hAnsi="宋体" w:eastAsia="宋体" w:cs="宋体"/>
                <w:color w:val="auto"/>
                <w:sz w:val="24"/>
                <w:highlight w:val="none"/>
              </w:rPr>
            </w:pPr>
            <w:r>
              <w:rPr>
                <w:rFonts w:hint="eastAsia" w:ascii="宋体" w:hAnsi="宋体" w:eastAsia="宋体" w:cs="宋体"/>
                <w:color w:val="auto"/>
                <w:kern w:val="0"/>
                <w:sz w:val="24"/>
                <w:highlight w:val="none"/>
              </w:rPr>
              <w:t>响应文件开启时间</w:t>
            </w:r>
          </w:p>
        </w:tc>
        <w:tc>
          <w:tcPr>
            <w:tcW w:w="7409"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eastAsia="宋体" w:cs="宋体"/>
                <w:color w:val="auto"/>
                <w:kern w:val="0"/>
                <w:sz w:val="24"/>
                <w:highlight w:val="none"/>
              </w:rPr>
            </w:pPr>
            <w:r>
              <w:rPr>
                <w:rFonts w:hint="eastAsia" w:ascii="宋体" w:hAnsi="宋体" w:eastAsia="宋体" w:cs="宋体"/>
                <w:color w:val="auto"/>
                <w:sz w:val="24"/>
                <w:highlight w:val="none"/>
              </w:rPr>
              <w:t>2019年</w:t>
            </w: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val="en-US" w:eastAsia="zh-CN"/>
              </w:rPr>
              <w:t>9:00</w:t>
            </w:r>
            <w:r>
              <w:rPr>
                <w:rFonts w:hint="eastAsia" w:ascii="宋体" w:hAnsi="宋体" w:eastAsia="宋体" w:cs="宋体"/>
                <w:color w:val="auto"/>
                <w:sz w:val="24"/>
                <w:highlight w:val="none"/>
              </w:rPr>
              <w:t>时（北京时间）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spacing w:line="440" w:lineRule="exact"/>
              <w:ind w:firstLine="240" w:firstLineChars="100"/>
              <w:jc w:val="center"/>
              <w:rPr>
                <w:rFonts w:ascii="宋体" w:hAnsi="宋体" w:eastAsia="宋体" w:cs="宋体"/>
                <w:color w:val="auto"/>
                <w:sz w:val="24"/>
                <w:highlight w:val="none"/>
              </w:rPr>
            </w:pPr>
            <w:r>
              <w:rPr>
                <w:rFonts w:hint="eastAsia" w:ascii="宋体" w:hAnsi="宋体" w:eastAsia="宋体" w:cs="宋体"/>
                <w:color w:val="auto"/>
                <w:sz w:val="24"/>
                <w:highlight w:val="none"/>
              </w:rPr>
              <w:t>19</w:t>
            </w:r>
          </w:p>
        </w:tc>
        <w:tc>
          <w:tcPr>
            <w:tcW w:w="2178"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磋商会议时间、</w:t>
            </w:r>
          </w:p>
          <w:p>
            <w:pPr>
              <w:widowControl/>
              <w:adjustRightInd w:val="0"/>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地点</w:t>
            </w:r>
          </w:p>
        </w:tc>
        <w:tc>
          <w:tcPr>
            <w:tcW w:w="7409"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时间：2019年</w:t>
            </w: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val="en-US" w:eastAsia="zh-CN"/>
              </w:rPr>
              <w:t>9:00</w:t>
            </w:r>
            <w:r>
              <w:rPr>
                <w:rFonts w:hint="eastAsia" w:ascii="宋体" w:hAnsi="宋体" w:eastAsia="宋体" w:cs="宋体"/>
                <w:color w:val="auto"/>
                <w:sz w:val="24"/>
                <w:highlight w:val="none"/>
              </w:rPr>
              <w:t>时（北京时间）</w:t>
            </w:r>
          </w:p>
          <w:p>
            <w:pPr>
              <w:widowControl/>
              <w:spacing w:line="440" w:lineRule="exact"/>
              <w:jc w:val="left"/>
              <w:rPr>
                <w:rFonts w:ascii="宋体" w:hAnsi="宋体" w:eastAsia="宋体" w:cs="宋体"/>
                <w:color w:val="auto"/>
                <w:kern w:val="0"/>
                <w:sz w:val="24"/>
                <w:highlight w:val="none"/>
              </w:rPr>
            </w:pPr>
            <w:r>
              <w:rPr>
                <w:rFonts w:hint="eastAsia" w:ascii="宋体" w:hAnsi="宋体" w:eastAsia="宋体" w:cs="宋体"/>
                <w:color w:val="auto"/>
                <w:sz w:val="24"/>
                <w:highlight w:val="none"/>
              </w:rPr>
              <w:t>地点：济宁医学院太白湖校区图文信息楼639室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spacing w:line="440" w:lineRule="exact"/>
              <w:ind w:firstLine="240" w:firstLineChars="100"/>
              <w:jc w:val="center"/>
              <w:rPr>
                <w:rFonts w:ascii="宋体" w:hAnsi="宋体" w:eastAsia="宋体" w:cs="宋体"/>
                <w:color w:val="auto"/>
                <w:sz w:val="24"/>
                <w:highlight w:val="none"/>
              </w:rPr>
            </w:pPr>
            <w:r>
              <w:rPr>
                <w:rFonts w:hint="eastAsia" w:ascii="宋体" w:hAnsi="宋体" w:eastAsia="宋体" w:cs="宋体"/>
                <w:color w:val="auto"/>
                <w:sz w:val="24"/>
                <w:highlight w:val="none"/>
              </w:rPr>
              <w:t>20</w:t>
            </w:r>
          </w:p>
        </w:tc>
        <w:tc>
          <w:tcPr>
            <w:tcW w:w="2178"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评审方法</w:t>
            </w:r>
          </w:p>
        </w:tc>
        <w:tc>
          <w:tcPr>
            <w:tcW w:w="7409"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733" w:type="dxa"/>
            <w:vMerge w:val="restart"/>
            <w:tcBorders>
              <w:top w:val="single" w:color="auto" w:sz="4" w:space="0"/>
              <w:left w:val="single" w:color="auto" w:sz="4" w:space="0"/>
              <w:right w:val="single" w:color="auto" w:sz="4" w:space="0"/>
            </w:tcBorders>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21</w:t>
            </w:r>
          </w:p>
        </w:tc>
        <w:tc>
          <w:tcPr>
            <w:tcW w:w="2178"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响应文件</w:t>
            </w:r>
          </w:p>
          <w:p>
            <w:pPr>
              <w:widowControl/>
              <w:adjustRightInd w:val="0"/>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的密封要求</w:t>
            </w:r>
          </w:p>
        </w:tc>
        <w:tc>
          <w:tcPr>
            <w:tcW w:w="7409"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密封套应标注项目名称、供应商名称等内容，密封套封口处应加盖供应商单位公章。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33" w:type="dxa"/>
            <w:vMerge w:val="continue"/>
            <w:tcBorders>
              <w:left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auto"/>
                <w:sz w:val="24"/>
                <w:highlight w:val="none"/>
              </w:rPr>
            </w:pPr>
          </w:p>
        </w:tc>
        <w:tc>
          <w:tcPr>
            <w:tcW w:w="217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响应文件份数</w:t>
            </w:r>
          </w:p>
        </w:tc>
        <w:tc>
          <w:tcPr>
            <w:tcW w:w="7409" w:type="dxa"/>
            <w:tcBorders>
              <w:top w:val="single" w:color="auto" w:sz="4" w:space="0"/>
              <w:left w:val="single" w:color="auto" w:sz="4" w:space="0"/>
              <w:bottom w:val="single" w:color="auto" w:sz="4" w:space="0"/>
              <w:right w:val="single" w:color="auto" w:sz="4" w:space="0"/>
            </w:tcBorders>
          </w:tcPr>
          <w:p>
            <w:pPr>
              <w:widowControl/>
              <w:adjustRightIn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1、响应文件4份（正本一份，副本三份），</w:t>
            </w:r>
          </w:p>
          <w:p>
            <w:pPr>
              <w:widowControl/>
              <w:adjustRightInd w:val="0"/>
              <w:spacing w:line="440" w:lineRule="exact"/>
              <w:rPr>
                <w:rFonts w:ascii="宋体" w:hAnsi="宋体" w:cs="宋体"/>
                <w:color w:val="auto"/>
                <w:kern w:val="0"/>
                <w:sz w:val="24"/>
                <w:highlight w:val="none"/>
              </w:rPr>
            </w:pPr>
            <w:r>
              <w:rPr>
                <w:rFonts w:hint="eastAsia" w:ascii="宋体" w:hAnsi="宋体" w:eastAsia="宋体" w:cs="宋体"/>
                <w:color w:val="auto"/>
                <w:sz w:val="24"/>
                <w:highlight w:val="none"/>
              </w:rPr>
              <w:t>2、报价一览表一式两份，单独密封。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733" w:type="dxa"/>
            <w:vMerge w:val="continue"/>
            <w:tcBorders>
              <w:left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auto"/>
                <w:sz w:val="24"/>
                <w:highlight w:val="none"/>
              </w:rPr>
            </w:pPr>
          </w:p>
        </w:tc>
        <w:tc>
          <w:tcPr>
            <w:tcW w:w="2178"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纸质响应文件</w:t>
            </w:r>
          </w:p>
          <w:p>
            <w:pPr>
              <w:widowControl/>
              <w:adjustRightInd w:val="0"/>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装订要求</w:t>
            </w:r>
          </w:p>
        </w:tc>
        <w:tc>
          <w:tcPr>
            <w:tcW w:w="7409"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1、响应文件的正本与副本应分别装订成册。</w:t>
            </w:r>
          </w:p>
          <w:p>
            <w:pPr>
              <w:widowControl/>
              <w:adjustRightIn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2、响应文件每册均须采用胶装方式在左侧装订，装订须牢固不易拆散和换页，不得采用活页方式装订，否则做无效报价处理。</w:t>
            </w:r>
          </w:p>
          <w:p>
            <w:pPr>
              <w:widowControl/>
              <w:adjustRightIn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cs="宋体"/>
                <w:color w:val="auto"/>
                <w:sz w:val="24"/>
                <w:highlight w:val="none"/>
              </w:rPr>
              <w:t>各标段分别按上述要求装订。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5"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22</w:t>
            </w:r>
          </w:p>
        </w:tc>
        <w:tc>
          <w:tcPr>
            <w:tcW w:w="2178"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履约担保</w:t>
            </w:r>
          </w:p>
        </w:tc>
        <w:tc>
          <w:tcPr>
            <w:tcW w:w="7409"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为保证服务质量，签订合同前，乙方向甲方交纳</w:t>
            </w:r>
            <w:r>
              <w:rPr>
                <w:rFonts w:hint="eastAsia" w:ascii="宋体" w:hAnsi="宋体" w:eastAsia="宋体" w:cs="宋体"/>
                <w:color w:val="auto"/>
                <w:sz w:val="24"/>
                <w:highlight w:val="none"/>
                <w:u w:val="single"/>
              </w:rPr>
              <w:t>10000</w:t>
            </w:r>
            <w:r>
              <w:rPr>
                <w:rFonts w:hint="eastAsia" w:ascii="宋体" w:hAnsi="宋体" w:eastAsia="宋体" w:cs="宋体"/>
                <w:color w:val="auto"/>
                <w:sz w:val="24"/>
                <w:highlight w:val="none"/>
              </w:rPr>
              <w:t>元的履约保证金，项目履约完成后，无质量问题一个月内无息退还。</w:t>
            </w:r>
          </w:p>
          <w:p>
            <w:pPr>
              <w:widowControl/>
              <w:adjustRightInd w:val="0"/>
              <w:spacing w:line="440" w:lineRule="exact"/>
              <w:rPr>
                <w:color w:val="auto"/>
                <w:highlight w:val="none"/>
              </w:rPr>
            </w:pPr>
            <w:r>
              <w:rPr>
                <w:rFonts w:hint="eastAsia" w:ascii="宋体" w:hAnsi="宋体" w:eastAsia="宋体" w:cs="宋体"/>
                <w:color w:val="auto"/>
                <w:sz w:val="24"/>
                <w:highlight w:val="none"/>
              </w:rPr>
              <w:t>若成交供应商不能按本磋商文件要求提交履约保证金的，将视为放弃中标资格，并没收其磋商保证金，给采购人造成的损失超过磋商保证金数额的，还应当对超过部分予以赔偿，并按有关规定进行处理。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23</w:t>
            </w:r>
          </w:p>
        </w:tc>
        <w:tc>
          <w:tcPr>
            <w:tcW w:w="2178"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知识产权</w:t>
            </w:r>
          </w:p>
        </w:tc>
        <w:tc>
          <w:tcPr>
            <w:tcW w:w="7409"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供应商须保证采购人在使用该货物或其任何一部分时不受到第三方关于侵犯专利权、商标权或工业编制权等知识产权的指控。如果任何第三方提出侵权指控与采购人无关，供应商须与第三方交涉并承担可能发生的责任与一切费用。如采购人因此而遭致损失的，供应商应赔偿该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24</w:t>
            </w:r>
          </w:p>
        </w:tc>
        <w:tc>
          <w:tcPr>
            <w:tcW w:w="2178"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偏离</w:t>
            </w:r>
          </w:p>
        </w:tc>
        <w:tc>
          <w:tcPr>
            <w:tcW w:w="7409"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25</w:t>
            </w:r>
          </w:p>
        </w:tc>
        <w:tc>
          <w:tcPr>
            <w:tcW w:w="9587"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在任何磋商环节中，需竞争性磋商小组就某项定性的评审结论做出表决的，由竞争性磋商小组全体成员按照少数服从多数的原则，以记名投票方式表决。</w:t>
            </w:r>
          </w:p>
        </w:tc>
      </w:tr>
    </w:tbl>
    <w:p>
      <w:pP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供应商须知正文部分</w:t>
      </w:r>
    </w:p>
    <w:p>
      <w:pPr>
        <w:spacing w:line="440" w:lineRule="exact"/>
        <w:rPr>
          <w:rFonts w:ascii="宋体" w:hAnsi="宋体" w:eastAsia="宋体" w:cs="宋体"/>
          <w:b/>
          <w:color w:val="auto"/>
          <w:sz w:val="24"/>
          <w:highlight w:val="none"/>
        </w:rPr>
      </w:pPr>
      <w:bookmarkStart w:id="4" w:name="_Toc269310919"/>
      <w:bookmarkStart w:id="5" w:name="_Toc312072227"/>
      <w:bookmarkStart w:id="6" w:name="_Toc144974498"/>
      <w:bookmarkStart w:id="7" w:name="_Toc152042306"/>
      <w:bookmarkStart w:id="8" w:name="_Toc152045530"/>
      <w:r>
        <w:rPr>
          <w:rFonts w:hint="eastAsia" w:ascii="宋体" w:hAnsi="宋体" w:eastAsia="宋体" w:cs="宋体"/>
          <w:b/>
          <w:color w:val="auto"/>
          <w:sz w:val="24"/>
          <w:highlight w:val="none"/>
        </w:rPr>
        <w:t>1. 总则</w:t>
      </w:r>
      <w:bookmarkEnd w:id="4"/>
      <w:bookmarkEnd w:id="5"/>
    </w:p>
    <w:p>
      <w:pPr>
        <w:spacing w:line="440" w:lineRule="exact"/>
        <w:rPr>
          <w:rFonts w:ascii="宋体" w:hAnsi="宋体" w:eastAsia="宋体" w:cs="宋体"/>
          <w:b/>
          <w:color w:val="auto"/>
          <w:sz w:val="24"/>
          <w:highlight w:val="none"/>
        </w:rPr>
      </w:pPr>
      <w:bookmarkStart w:id="9" w:name="_Toc312072228"/>
      <w:bookmarkStart w:id="10" w:name="_Toc269310920"/>
      <w:r>
        <w:rPr>
          <w:rFonts w:hint="eastAsia" w:ascii="宋体" w:hAnsi="宋体" w:eastAsia="宋体" w:cs="宋体"/>
          <w:b/>
          <w:color w:val="auto"/>
          <w:sz w:val="24"/>
          <w:highlight w:val="none"/>
        </w:rPr>
        <w:t>1.1 项目概况</w:t>
      </w:r>
      <w:bookmarkEnd w:id="6"/>
      <w:bookmarkEnd w:id="7"/>
      <w:bookmarkEnd w:id="8"/>
      <w:bookmarkEnd w:id="9"/>
      <w:bookmarkEnd w:id="10"/>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1.1.1根据《中华人民共和国政府采购法》、《中华人民共和国政府采购法实施条例》等有关法律、法规规定，本项目已具备采购条件，现采用竞争性磋商采购方式对该项目进行采购；</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1.1.2 本项目采购人：见供应商须知前附表；</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1.1.3 本项目采购代理机构：见供应商须知前附表；</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1.1.4 本项目名称、项目编号：见供应商须知前附表；</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1.1.5 本项目采购内容：见供应商须知前附表。</w:t>
      </w:r>
    </w:p>
    <w:p>
      <w:pPr>
        <w:spacing w:line="440" w:lineRule="exact"/>
        <w:rPr>
          <w:rFonts w:ascii="宋体" w:hAnsi="宋体" w:eastAsia="宋体" w:cs="宋体"/>
          <w:b/>
          <w:bCs/>
          <w:color w:val="auto"/>
          <w:sz w:val="24"/>
          <w:highlight w:val="none"/>
        </w:rPr>
      </w:pPr>
      <w:bookmarkStart w:id="11" w:name="_Toc312072229"/>
      <w:bookmarkStart w:id="12" w:name="_Toc152042307"/>
      <w:bookmarkStart w:id="13" w:name="_Toc269310921"/>
      <w:bookmarkStart w:id="14" w:name="_Toc152045531"/>
      <w:bookmarkStart w:id="15" w:name="_Toc144974499"/>
      <w:r>
        <w:rPr>
          <w:rFonts w:hint="eastAsia" w:ascii="宋体" w:hAnsi="宋体" w:eastAsia="宋体" w:cs="宋体"/>
          <w:b/>
          <w:bCs/>
          <w:color w:val="auto"/>
          <w:sz w:val="24"/>
          <w:highlight w:val="none"/>
        </w:rPr>
        <w:t>1.2采购方式</w:t>
      </w:r>
      <w:bookmarkEnd w:id="11"/>
      <w:bookmarkEnd w:id="12"/>
      <w:bookmarkEnd w:id="13"/>
      <w:bookmarkEnd w:id="14"/>
      <w:bookmarkEnd w:id="15"/>
      <w:r>
        <w:rPr>
          <w:rFonts w:hint="eastAsia" w:ascii="宋体" w:hAnsi="宋体" w:eastAsia="宋体" w:cs="宋体"/>
          <w:b/>
          <w:bCs/>
          <w:color w:val="auto"/>
          <w:sz w:val="24"/>
          <w:highlight w:val="none"/>
        </w:rPr>
        <w:t>、采购预算</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1.2.1本项目采购方式见供应商须知前附表；</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1.2.2本项目采购预算见供应商须知前附表。</w:t>
      </w:r>
    </w:p>
    <w:p>
      <w:pPr>
        <w:spacing w:line="440" w:lineRule="exact"/>
        <w:rPr>
          <w:rFonts w:ascii="宋体" w:hAnsi="宋体" w:eastAsia="宋体" w:cs="宋体"/>
          <w:b/>
          <w:bCs/>
          <w:color w:val="auto"/>
          <w:sz w:val="24"/>
          <w:highlight w:val="none"/>
        </w:rPr>
      </w:pPr>
      <w:bookmarkStart w:id="16" w:name="_Toc312072230"/>
      <w:bookmarkStart w:id="17" w:name="_Toc152042308"/>
      <w:bookmarkStart w:id="18" w:name="_Toc152045532"/>
      <w:bookmarkStart w:id="19" w:name="_Toc144974500"/>
      <w:bookmarkStart w:id="20" w:name="_Toc269310922"/>
      <w:r>
        <w:rPr>
          <w:rFonts w:hint="eastAsia" w:ascii="宋体" w:hAnsi="宋体" w:eastAsia="宋体" w:cs="宋体"/>
          <w:b/>
          <w:bCs/>
          <w:color w:val="auto"/>
          <w:sz w:val="24"/>
          <w:highlight w:val="none"/>
        </w:rPr>
        <w:t>1.3 服务周期、</w:t>
      </w:r>
      <w:bookmarkEnd w:id="16"/>
      <w:bookmarkEnd w:id="17"/>
      <w:bookmarkEnd w:id="18"/>
      <w:bookmarkEnd w:id="19"/>
      <w:bookmarkEnd w:id="20"/>
      <w:r>
        <w:rPr>
          <w:rFonts w:hint="eastAsia" w:ascii="宋体" w:hAnsi="宋体" w:eastAsia="宋体" w:cs="宋体"/>
          <w:b/>
          <w:bCs/>
          <w:color w:val="auto"/>
          <w:sz w:val="24"/>
          <w:highlight w:val="none"/>
        </w:rPr>
        <w:t>质量要求</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1.3.1本项目服务周期见供应商须知前附表；</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1.3.2本项目质量要求见供应商须知前附表。</w:t>
      </w:r>
    </w:p>
    <w:p>
      <w:pPr>
        <w:spacing w:line="440" w:lineRule="exact"/>
        <w:rPr>
          <w:rFonts w:ascii="宋体" w:hAnsi="宋体" w:eastAsia="宋体" w:cs="宋体"/>
          <w:b/>
          <w:bCs/>
          <w:color w:val="auto"/>
          <w:sz w:val="24"/>
          <w:highlight w:val="none"/>
        </w:rPr>
      </w:pPr>
      <w:bookmarkStart w:id="21" w:name="_Toc269310923"/>
      <w:bookmarkStart w:id="22" w:name="_Toc312072231"/>
      <w:r>
        <w:rPr>
          <w:rFonts w:hint="eastAsia" w:ascii="宋体" w:hAnsi="宋体" w:eastAsia="宋体" w:cs="宋体"/>
          <w:b/>
          <w:bCs/>
          <w:color w:val="auto"/>
          <w:sz w:val="24"/>
          <w:highlight w:val="none"/>
        </w:rPr>
        <w:t>1.4供应商资格要求</w:t>
      </w:r>
      <w:bookmarkEnd w:id="21"/>
      <w:bookmarkEnd w:id="22"/>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1.4.1具体详见供应商须知前附表。</w:t>
      </w:r>
    </w:p>
    <w:p>
      <w:pPr>
        <w:spacing w:line="440" w:lineRule="exact"/>
        <w:rPr>
          <w:rFonts w:ascii="宋体" w:hAnsi="宋体" w:eastAsia="宋体" w:cs="宋体"/>
          <w:b/>
          <w:color w:val="auto"/>
          <w:sz w:val="24"/>
          <w:highlight w:val="none"/>
        </w:rPr>
      </w:pPr>
      <w:bookmarkStart w:id="23" w:name="_Toc152042311"/>
      <w:bookmarkStart w:id="24" w:name="_Toc144974503"/>
      <w:bookmarkStart w:id="25" w:name="_Toc269310924"/>
      <w:bookmarkStart w:id="26" w:name="_Toc152045535"/>
      <w:bookmarkStart w:id="27" w:name="_Toc312072232"/>
      <w:r>
        <w:rPr>
          <w:rFonts w:hint="eastAsia" w:ascii="宋体" w:hAnsi="宋体" w:eastAsia="宋体" w:cs="宋体"/>
          <w:b/>
          <w:color w:val="auto"/>
          <w:sz w:val="24"/>
          <w:highlight w:val="none"/>
        </w:rPr>
        <w:t>1.5 费用承担</w:t>
      </w:r>
      <w:bookmarkEnd w:id="23"/>
      <w:bookmarkEnd w:id="24"/>
      <w:bookmarkEnd w:id="25"/>
      <w:bookmarkEnd w:id="26"/>
      <w:bookmarkEnd w:id="27"/>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1.5.1供应商准备和参加报价活动发生的费用自理。</w:t>
      </w:r>
    </w:p>
    <w:p>
      <w:pPr>
        <w:spacing w:line="440" w:lineRule="exact"/>
        <w:ind w:firstLine="480" w:firstLineChars="200"/>
        <w:rPr>
          <w:rFonts w:ascii="宋体" w:hAnsi="宋体" w:eastAsia="宋体" w:cs="宋体"/>
          <w:color w:val="auto"/>
          <w:sz w:val="24"/>
          <w:highlight w:val="none"/>
        </w:rPr>
      </w:pPr>
      <w:bookmarkStart w:id="28" w:name="_Toc144974504"/>
      <w:bookmarkStart w:id="29" w:name="_Toc152042312"/>
      <w:bookmarkStart w:id="30" w:name="_Toc152045536"/>
      <w:r>
        <w:rPr>
          <w:rFonts w:hint="eastAsia" w:ascii="宋体" w:hAnsi="宋体" w:eastAsia="宋体" w:cs="宋体"/>
          <w:color w:val="auto"/>
          <w:sz w:val="24"/>
          <w:highlight w:val="none"/>
        </w:rPr>
        <w:t>1.5.2采购代理费：</w:t>
      </w:r>
      <w:bookmarkStart w:id="31" w:name="_Toc269310925"/>
      <w:bookmarkStart w:id="32" w:name="_Toc312072233"/>
      <w:r>
        <w:rPr>
          <w:rFonts w:hint="eastAsia" w:ascii="宋体" w:hAnsi="宋体" w:eastAsia="宋体" w:cs="宋体"/>
          <w:color w:val="auto"/>
          <w:sz w:val="24"/>
          <w:highlight w:val="none"/>
        </w:rPr>
        <w:t>3800元整；由成交供应商向采购代理机构支付。</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1.6 保密</w:t>
      </w:r>
      <w:bookmarkEnd w:id="28"/>
      <w:bookmarkEnd w:id="29"/>
      <w:bookmarkEnd w:id="30"/>
      <w:bookmarkEnd w:id="31"/>
      <w:bookmarkEnd w:id="32"/>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参与采购活动的各方应对磋商文件和响应文件中的商业和技术等秘密保密，违者应对由此造成的后果承担法律责任。</w:t>
      </w:r>
    </w:p>
    <w:p>
      <w:pPr>
        <w:spacing w:line="440" w:lineRule="exact"/>
        <w:rPr>
          <w:rFonts w:ascii="宋体" w:hAnsi="宋体" w:eastAsia="宋体" w:cs="宋体"/>
          <w:b/>
          <w:color w:val="auto"/>
          <w:sz w:val="24"/>
          <w:highlight w:val="none"/>
        </w:rPr>
      </w:pPr>
      <w:bookmarkStart w:id="33" w:name="_Toc144974505"/>
      <w:bookmarkStart w:id="34" w:name="_Toc312072234"/>
      <w:bookmarkStart w:id="35" w:name="_Toc152045537"/>
      <w:bookmarkStart w:id="36" w:name="_Toc269310926"/>
      <w:bookmarkStart w:id="37" w:name="_Toc152042313"/>
      <w:r>
        <w:rPr>
          <w:rFonts w:hint="eastAsia" w:ascii="宋体" w:hAnsi="宋体" w:eastAsia="宋体" w:cs="宋体"/>
          <w:b/>
          <w:color w:val="auto"/>
          <w:sz w:val="24"/>
          <w:highlight w:val="none"/>
        </w:rPr>
        <w:t>1.7 语言</w:t>
      </w:r>
      <w:bookmarkEnd w:id="33"/>
      <w:r>
        <w:rPr>
          <w:rFonts w:hint="eastAsia" w:ascii="宋体" w:hAnsi="宋体" w:eastAsia="宋体" w:cs="宋体"/>
          <w:b/>
          <w:color w:val="auto"/>
          <w:sz w:val="24"/>
          <w:highlight w:val="none"/>
        </w:rPr>
        <w:t>文字</w:t>
      </w:r>
      <w:bookmarkEnd w:id="34"/>
      <w:bookmarkEnd w:id="35"/>
      <w:bookmarkEnd w:id="36"/>
      <w:bookmarkEnd w:id="37"/>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除专用术语外，与采购报价有关的语言均使用简体中文。必要时专用术语应附有简体中文注释。</w:t>
      </w:r>
    </w:p>
    <w:p>
      <w:pPr>
        <w:spacing w:line="440" w:lineRule="exact"/>
        <w:rPr>
          <w:rFonts w:ascii="宋体" w:hAnsi="宋体" w:eastAsia="宋体" w:cs="宋体"/>
          <w:b/>
          <w:color w:val="auto"/>
          <w:sz w:val="24"/>
          <w:highlight w:val="none"/>
        </w:rPr>
      </w:pPr>
      <w:bookmarkStart w:id="38" w:name="_Toc269310927"/>
      <w:bookmarkStart w:id="39" w:name="_Toc312072235"/>
      <w:bookmarkStart w:id="40" w:name="_Toc152042314"/>
      <w:bookmarkStart w:id="41" w:name="_Toc152045538"/>
      <w:bookmarkStart w:id="42" w:name="_Toc144974506"/>
      <w:r>
        <w:rPr>
          <w:rFonts w:hint="eastAsia" w:ascii="宋体" w:hAnsi="宋体" w:eastAsia="宋体" w:cs="宋体"/>
          <w:b/>
          <w:color w:val="auto"/>
          <w:sz w:val="24"/>
          <w:highlight w:val="none"/>
        </w:rPr>
        <w:t>1.8计量单位</w:t>
      </w:r>
      <w:bookmarkEnd w:id="38"/>
      <w:bookmarkEnd w:id="39"/>
      <w:bookmarkEnd w:id="40"/>
      <w:bookmarkEnd w:id="41"/>
      <w:bookmarkEnd w:id="42"/>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所有计量均采用中华人民共和国法定计量单位。</w:t>
      </w:r>
    </w:p>
    <w:p>
      <w:pPr>
        <w:spacing w:line="440" w:lineRule="exact"/>
        <w:rPr>
          <w:rFonts w:ascii="宋体" w:hAnsi="宋体" w:eastAsia="宋体" w:cs="宋体"/>
          <w:b/>
          <w:color w:val="auto"/>
          <w:sz w:val="24"/>
          <w:highlight w:val="none"/>
        </w:rPr>
      </w:pPr>
      <w:bookmarkStart w:id="43" w:name="_Toc312072236"/>
      <w:bookmarkStart w:id="44" w:name="_Toc152042315"/>
      <w:bookmarkStart w:id="45" w:name="_Toc269310928"/>
      <w:bookmarkStart w:id="46" w:name="_Toc152045539"/>
      <w:bookmarkStart w:id="47" w:name="_Toc144974507"/>
      <w:r>
        <w:rPr>
          <w:rFonts w:hint="eastAsia" w:ascii="宋体" w:hAnsi="宋体" w:eastAsia="宋体" w:cs="宋体"/>
          <w:b/>
          <w:color w:val="auto"/>
          <w:sz w:val="24"/>
          <w:highlight w:val="none"/>
        </w:rPr>
        <w:t>1.9 踏勘现场</w:t>
      </w:r>
      <w:bookmarkEnd w:id="43"/>
      <w:bookmarkEnd w:id="44"/>
      <w:bookmarkEnd w:id="45"/>
      <w:bookmarkEnd w:id="46"/>
      <w:bookmarkEnd w:id="47"/>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1.9.1不统一组织踏勘现场，供应商可根据需要自行到项目现场进行踏勘。</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1.9.2 供应商踏勘现场发生的费用自理。</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1.9.3 采购人在踏勘现场中介绍的工程场地和相关的周边环境情况，供应商在编制响应文件时参考，采购人不对供应商据此作出的判断和决策负责。</w:t>
      </w:r>
    </w:p>
    <w:p>
      <w:pPr>
        <w:spacing w:line="440" w:lineRule="exact"/>
        <w:rPr>
          <w:rFonts w:ascii="宋体" w:hAnsi="宋体" w:eastAsia="宋体" w:cs="宋体"/>
          <w:b/>
          <w:color w:val="auto"/>
          <w:sz w:val="24"/>
          <w:highlight w:val="none"/>
        </w:rPr>
      </w:pPr>
      <w:bookmarkStart w:id="48" w:name="_Toc312072239"/>
      <w:r>
        <w:rPr>
          <w:rFonts w:hint="eastAsia" w:ascii="宋体" w:hAnsi="宋体" w:eastAsia="宋体" w:cs="宋体"/>
          <w:b/>
          <w:color w:val="auto"/>
          <w:sz w:val="24"/>
          <w:highlight w:val="none"/>
        </w:rPr>
        <w:t>1.10 偏离</w:t>
      </w:r>
      <w:bookmarkEnd w:id="48"/>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不允许</w:t>
      </w:r>
    </w:p>
    <w:p>
      <w:pPr>
        <w:spacing w:line="440" w:lineRule="exact"/>
        <w:rPr>
          <w:rFonts w:ascii="宋体" w:hAnsi="宋体" w:eastAsia="宋体" w:cs="宋体"/>
          <w:b/>
          <w:color w:val="auto"/>
          <w:sz w:val="24"/>
          <w:highlight w:val="none"/>
        </w:rPr>
      </w:pPr>
      <w:bookmarkStart w:id="49" w:name="_Toc312072240"/>
      <w:bookmarkStart w:id="50" w:name="_Toc144974510"/>
      <w:bookmarkStart w:id="51" w:name="_Toc152042318"/>
      <w:bookmarkStart w:id="52" w:name="_Toc269310930"/>
      <w:bookmarkStart w:id="53" w:name="_Toc152045542"/>
      <w:r>
        <w:rPr>
          <w:rFonts w:hint="eastAsia" w:ascii="宋体" w:hAnsi="宋体" w:eastAsia="宋体" w:cs="宋体"/>
          <w:b/>
          <w:color w:val="auto"/>
          <w:sz w:val="24"/>
          <w:highlight w:val="none"/>
        </w:rPr>
        <w:t>2. 磋商文件</w:t>
      </w:r>
      <w:bookmarkEnd w:id="49"/>
      <w:bookmarkEnd w:id="50"/>
      <w:bookmarkEnd w:id="51"/>
      <w:bookmarkEnd w:id="52"/>
      <w:bookmarkEnd w:id="53"/>
    </w:p>
    <w:p>
      <w:pPr>
        <w:spacing w:line="440" w:lineRule="exact"/>
        <w:rPr>
          <w:rFonts w:ascii="宋体" w:hAnsi="宋体" w:eastAsia="宋体" w:cs="宋体"/>
          <w:b/>
          <w:color w:val="auto"/>
          <w:sz w:val="24"/>
          <w:highlight w:val="none"/>
        </w:rPr>
      </w:pPr>
      <w:bookmarkStart w:id="54" w:name="_Toc152045543"/>
      <w:bookmarkStart w:id="55" w:name="_Toc312072241"/>
      <w:bookmarkStart w:id="56" w:name="_Toc152042319"/>
      <w:bookmarkStart w:id="57" w:name="_Toc269310931"/>
      <w:bookmarkStart w:id="58" w:name="_Toc144974511"/>
      <w:r>
        <w:rPr>
          <w:rFonts w:hint="eastAsia" w:ascii="宋体" w:hAnsi="宋体" w:eastAsia="宋体" w:cs="宋体"/>
          <w:b/>
          <w:color w:val="auto"/>
          <w:sz w:val="24"/>
          <w:highlight w:val="none"/>
        </w:rPr>
        <w:t>2.1 磋商文件的组成</w:t>
      </w:r>
      <w:bookmarkEnd w:id="54"/>
      <w:bookmarkEnd w:id="55"/>
      <w:bookmarkEnd w:id="56"/>
      <w:bookmarkEnd w:id="57"/>
      <w:bookmarkEnd w:id="58"/>
    </w:p>
    <w:p>
      <w:pPr>
        <w:spacing w:line="440" w:lineRule="exact"/>
        <w:ind w:firstLine="360" w:firstLineChars="150"/>
        <w:rPr>
          <w:rFonts w:ascii="宋体" w:hAnsi="宋体" w:eastAsia="宋体" w:cs="宋体"/>
          <w:color w:val="auto"/>
          <w:sz w:val="24"/>
          <w:highlight w:val="none"/>
        </w:rPr>
      </w:pPr>
      <w:r>
        <w:rPr>
          <w:rFonts w:hint="eastAsia" w:ascii="宋体" w:hAnsi="宋体" w:eastAsia="宋体" w:cs="宋体"/>
          <w:color w:val="auto"/>
          <w:sz w:val="24"/>
          <w:highlight w:val="none"/>
        </w:rPr>
        <w:t>本次采购项目的磋商文件包含以下部分：</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（1）竞争性磋商公告</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（2）供应商须知</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（3）项目说明</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（4）合同格式</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（5）响应文件格式</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（6）评分标准</w:t>
      </w:r>
    </w:p>
    <w:p>
      <w:pPr>
        <w:spacing w:line="44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获取磋商文件后，应仔细检查磋商文件的所有内容，如有残缺等问题应在获得磋商文件当日向采购人或采购代理机构提出，否则，由此引起的损失由供应商自行承担。供应商同时应认真审阅磋商文件中所有的事项、格式、条款和规范要求等，若供应商的响应文件没有按磋商文件要求提交全部资料，或响应文件没有对磋商文件做出实质性响应，其风险由供应商自行承担，并根据有关条款，该响应文件有可能被拒绝。</w:t>
      </w:r>
    </w:p>
    <w:p>
      <w:pPr>
        <w:spacing w:line="440" w:lineRule="exact"/>
        <w:ind w:firstLine="480" w:firstLineChars="200"/>
        <w:rPr>
          <w:rFonts w:ascii="宋体" w:hAnsi="宋体" w:eastAsia="宋体" w:cs="宋体"/>
          <w:color w:val="auto"/>
          <w:sz w:val="24"/>
          <w:szCs w:val="20"/>
          <w:highlight w:val="none"/>
        </w:rPr>
      </w:pPr>
      <w:r>
        <w:rPr>
          <w:rFonts w:hint="eastAsia" w:ascii="宋体" w:hAnsi="宋体" w:eastAsia="宋体" w:cs="宋体"/>
          <w:color w:val="auto"/>
          <w:sz w:val="24"/>
          <w:highlight w:val="none"/>
        </w:rPr>
        <w:t>供应商对磋商文件提出的澄清要求，应以书面形式通知到采购代理机构。招标采购单位对已发出的磋商文件进行必要的澄清时或者修改的，将在磋商文件要求提交响应文件截止时间5日前，在中国采购与招标网发布媒体上发布更正公告，该澄清或者修改的内容作为磋商文件的组成部分，对所有供应商具有约束力。</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3. 响应文件</w:t>
      </w:r>
    </w:p>
    <w:p>
      <w:pPr>
        <w:spacing w:line="440" w:lineRule="exact"/>
        <w:rPr>
          <w:rFonts w:ascii="宋体" w:hAnsi="宋体" w:eastAsia="宋体" w:cs="宋体"/>
          <w:b/>
          <w:color w:val="auto"/>
          <w:sz w:val="24"/>
          <w:highlight w:val="none"/>
        </w:rPr>
      </w:pPr>
      <w:bookmarkStart w:id="59" w:name="_Toc269310935"/>
      <w:bookmarkStart w:id="60" w:name="_Toc144974515"/>
      <w:bookmarkStart w:id="61" w:name="_Toc232995488"/>
      <w:bookmarkStart w:id="62" w:name="_Toc312072245"/>
      <w:bookmarkStart w:id="63" w:name="_Toc152045547"/>
      <w:bookmarkStart w:id="64" w:name="_Toc152042323"/>
      <w:r>
        <w:rPr>
          <w:rFonts w:hint="eastAsia" w:ascii="宋体" w:hAnsi="宋体" w:eastAsia="宋体" w:cs="宋体"/>
          <w:b/>
          <w:color w:val="auto"/>
          <w:sz w:val="24"/>
          <w:highlight w:val="none"/>
        </w:rPr>
        <w:t>3.1 响应文件的组成</w:t>
      </w:r>
      <w:bookmarkEnd w:id="59"/>
      <w:bookmarkEnd w:id="60"/>
      <w:bookmarkEnd w:id="61"/>
      <w:bookmarkEnd w:id="62"/>
      <w:bookmarkEnd w:id="63"/>
      <w:bookmarkEnd w:id="64"/>
      <w:bookmarkStart w:id="65" w:name="_Toc232832203"/>
      <w:bookmarkStart w:id="66" w:name="_Toc232832502"/>
    </w:p>
    <w:bookmarkEnd w:id="65"/>
    <w:bookmarkEnd w:id="66"/>
    <w:p>
      <w:pPr>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1．法定代表人或授权代理人签署的报价函（见附件）</w:t>
      </w:r>
    </w:p>
    <w:p>
      <w:pPr>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2．法定代表人身份证明、授权委托书</w:t>
      </w:r>
    </w:p>
    <w:p>
      <w:pPr>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 报价一览表</w:t>
      </w:r>
    </w:p>
    <w:p>
      <w:pPr>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4．项目班子配备人员一览表</w:t>
      </w:r>
    </w:p>
    <w:p>
      <w:pPr>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5．资格审查资料</w:t>
      </w:r>
    </w:p>
    <w:p>
      <w:pPr>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5.1营业执照副本复印件；</w:t>
      </w:r>
    </w:p>
    <w:p>
      <w:pPr>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5.2组织机构代码证、税务登记证复印件；</w:t>
      </w:r>
    </w:p>
    <w:p>
      <w:pPr>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5.3法定代表人授权委托书、法定代表人身份证复印件、授权代理人的身份证明复印件；</w:t>
      </w:r>
    </w:p>
    <w:p>
      <w:pPr>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5.4竞争性磋商文件要求的其他资格材料；</w:t>
      </w:r>
    </w:p>
    <w:p>
      <w:pPr>
        <w:pStyle w:val="25"/>
        <w:rPr>
          <w:rFonts w:eastAsia="宋体"/>
          <w:color w:val="auto"/>
          <w:highlight w:val="none"/>
        </w:rPr>
      </w:pPr>
      <w:r>
        <w:rPr>
          <w:rFonts w:hint="eastAsia" w:eastAsia="宋体"/>
          <w:color w:val="auto"/>
          <w:highlight w:val="none"/>
        </w:rPr>
        <w:t>5.5近三年财务状况；</w:t>
      </w:r>
    </w:p>
    <w:p>
      <w:pPr>
        <w:pStyle w:val="25"/>
        <w:rPr>
          <w:rFonts w:eastAsia="宋体"/>
          <w:color w:val="auto"/>
          <w:highlight w:val="none"/>
        </w:rPr>
      </w:pPr>
      <w:r>
        <w:rPr>
          <w:rFonts w:hint="eastAsia" w:eastAsia="宋体"/>
          <w:color w:val="auto"/>
          <w:highlight w:val="none"/>
        </w:rPr>
        <w:t>5.6同类项目业绩一览表；</w:t>
      </w:r>
    </w:p>
    <w:p>
      <w:pPr>
        <w:pStyle w:val="25"/>
        <w:rPr>
          <w:rFonts w:eastAsia="宋体"/>
          <w:color w:val="auto"/>
          <w:highlight w:val="none"/>
        </w:rPr>
      </w:pPr>
      <w:r>
        <w:rPr>
          <w:rFonts w:hint="eastAsia" w:eastAsia="宋体"/>
          <w:color w:val="auto"/>
          <w:highlight w:val="none"/>
        </w:rPr>
        <w:t>5.7近三年无重大违法记录；</w:t>
      </w:r>
    </w:p>
    <w:p>
      <w:pPr>
        <w:pStyle w:val="25"/>
        <w:rPr>
          <w:rFonts w:eastAsia="宋体"/>
          <w:color w:val="auto"/>
          <w:highlight w:val="none"/>
        </w:rPr>
      </w:pPr>
      <w:r>
        <w:rPr>
          <w:rFonts w:hint="eastAsia" w:eastAsia="宋体"/>
          <w:color w:val="auto"/>
          <w:highlight w:val="none"/>
        </w:rPr>
        <w:t>5.8其他资格审查资料。</w:t>
      </w:r>
    </w:p>
    <w:p>
      <w:pPr>
        <w:pStyle w:val="25"/>
        <w:rPr>
          <w:rFonts w:eastAsia="宋体"/>
          <w:color w:val="auto"/>
          <w:highlight w:val="none"/>
        </w:rPr>
      </w:pPr>
      <w:r>
        <w:rPr>
          <w:rFonts w:hint="eastAsia" w:eastAsia="宋体"/>
          <w:color w:val="auto"/>
          <w:highlight w:val="none"/>
        </w:rPr>
        <w:t>6.供应商其他信誉。</w:t>
      </w:r>
    </w:p>
    <w:p>
      <w:pPr>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7．技术部分</w:t>
      </w:r>
    </w:p>
    <w:p>
      <w:pPr>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7.1施工组织设计；</w:t>
      </w:r>
    </w:p>
    <w:p>
      <w:pPr>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7.2服务承诺及优惠条款；</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7.3供应商认为需说明的其他内容。</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 xml:space="preserve">    3.2 报价要求</w:t>
      </w:r>
    </w:p>
    <w:p>
      <w:pPr>
        <w:spacing w:line="440" w:lineRule="exact"/>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Cs/>
          <w:color w:val="auto"/>
          <w:sz w:val="24"/>
          <w:highlight w:val="none"/>
        </w:rPr>
        <w:t>本次竞争性磋商将有再次报价的机会（最多不超过二次），每次报价均应书面确认，最终报价将作为计算报价得分的依据</w:t>
      </w:r>
      <w:r>
        <w:rPr>
          <w:rFonts w:hint="eastAsia" w:ascii="宋体" w:hAnsi="宋体" w:eastAsia="宋体" w:cs="宋体"/>
          <w:b/>
          <w:color w:val="auto"/>
          <w:sz w:val="24"/>
          <w:highlight w:val="none"/>
        </w:rPr>
        <w:t>（每次报价均不得超过本项目采购预算，且后一次报价不得高于前一次报价）。</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（2）报价币种为人民币。</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（3）磋商过程中磋商文件有实质性变动的，采购人将通知所有参与磋商的供应商，供应商据此再次报价。</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（4）供应商在报价时只允许提供一个方案。</w:t>
      </w:r>
    </w:p>
    <w:p>
      <w:pPr>
        <w:spacing w:line="46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本项目投标报价含安装费、人工费、材料费、机械费、管理费、利润、规费、税金、政策性文件规定费用、各类措施费（特别是文明施工措施费）、风险费、垃圾清理及外运费、施工用水、用电费、竣工验收检测费等所有费用。供应商应充分考虑本项目合同实施期间可能发生的一切费用，并承担由此而带来的风险。凡供应商在报价中未列明但又为货物所必备的项目或遗漏项目，采购人将一律视为已包括在其报价中，在合同执行中将不予考虑；以及合同明示或暗示的所有责任、义务和不可抗力以外的一切风险。如不包含或有其他情况，须在响应文件中具体说明。供应商的报价不能超过采购预算，否则不予授标。报价人需写明具体参投产品技术参数，未附具体参数以无效标处理。</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（7）如果响应文件中大写金额和小写金额不一致时，以大写金额为准。</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（8）供应商免费提供的项目，应先填写该项目的实际价格，并注明免费。此项不计入总报价，有优惠的，请将优惠一并折入货物价格，本项目不接收报价以外的价格优惠、赠与。</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（9）本项目报价总价为含税报价，项目实施过程中发生的一切费用由成交供应商自行负责。</w:t>
      </w:r>
    </w:p>
    <w:p>
      <w:pPr>
        <w:spacing w:line="440" w:lineRule="exact"/>
        <w:rPr>
          <w:rFonts w:ascii="宋体" w:hAnsi="宋体" w:eastAsia="宋体" w:cs="宋体"/>
          <w:b/>
          <w:color w:val="auto"/>
          <w:sz w:val="24"/>
          <w:highlight w:val="none"/>
        </w:rPr>
      </w:pPr>
      <w:bookmarkStart w:id="67" w:name="_Toc312072248"/>
      <w:r>
        <w:rPr>
          <w:rFonts w:hint="eastAsia" w:ascii="宋体" w:hAnsi="宋体" w:eastAsia="宋体" w:cs="宋体"/>
          <w:b/>
          <w:color w:val="auto"/>
          <w:sz w:val="24"/>
          <w:highlight w:val="none"/>
        </w:rPr>
        <w:t>3.3 报价有效期</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3.3.1 在供应商须知前附表规定的报价有效期内，供应商不得要求撤销或修改其响应文件。</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3.3.2出现特殊情况需要延长报价有效期的，采购人将通过中国采购与招标网通知所有供应商延长报价有效期。</w:t>
      </w:r>
    </w:p>
    <w:bookmarkEnd w:id="67"/>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3.5</w:t>
      </w:r>
      <w:bookmarkStart w:id="68" w:name="_Toc152045554"/>
      <w:bookmarkStart w:id="69" w:name="_Toc144974522"/>
      <w:bookmarkStart w:id="70" w:name="_Toc312072251"/>
      <w:bookmarkStart w:id="71" w:name="_Toc152042330"/>
      <w:bookmarkStart w:id="72" w:name="_Toc269310940"/>
      <w:r>
        <w:rPr>
          <w:rFonts w:hint="eastAsia" w:ascii="宋体" w:hAnsi="宋体" w:eastAsia="宋体" w:cs="宋体"/>
          <w:b/>
          <w:color w:val="auto"/>
          <w:sz w:val="24"/>
          <w:highlight w:val="none"/>
        </w:rPr>
        <w:t>响应文件的编制</w:t>
      </w:r>
      <w:bookmarkEnd w:id="68"/>
      <w:bookmarkEnd w:id="69"/>
      <w:bookmarkEnd w:id="70"/>
      <w:bookmarkEnd w:id="71"/>
      <w:bookmarkEnd w:id="72"/>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3.5.1 响应文件应当对磋商文件有关服务周期 、报价有效期、质量要求、合同、技术标准和要求等实质性内容作出响应。</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3.5.2响应文件应用不褪色的材料书写或打印，并由供应商的法定代表人或其委托代理人签字或盖章并盖单位章。委托代理人签字或盖章的，响应文件应附法定代表人签署的授权委托书。响应文件应尽量避免涂改、行间插字或删除。如果出现上述情况，改动之处应加盖单位章并由供应商的法定代表人或其授权的代理人签字或盖章确认。</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3.5.3 响应文件正本壹份，副本份数见供应商须知前附表。</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3.5.4响应文件的正本与副本应分别装订成册，并编制目录，具体装订要求见供应商须知前附表规定。</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3.6响应文件的修改与撤回</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3.6.1在供应商须知前附表中规定的报价截止时间前，供应商可以修改或撤回已递交的响应文件，但应以书面形式通知采购人。</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3.6.2供应商修改或撤回已递交响应文件的书面通知应按照供应商须知前附表的要求签字或盖章。采购人收到书面通知后，向供应商出具签收凭证。</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3.6.3修改的内容为响应文件的组成部分。修改的响应文件应按照供应商须知前附表规定进行编制、密封、标记和递交，并标明“修改”字样。在报价截止时间之后，供应商不得补充、修改响应文件。</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4. 响应文件的密封与递交</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4.1 响应文件的密封和标记</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4.1.1供应商应准备五份响应文件，一份正本和四份副本，并在每一份响应文件上要注明“正本”或“副本”字样，一旦正本和副本有差异，以正本为准。</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4.1.2 供应商将响应文件正本、副本分别密封，并在封面明显处注明以下内容（封面格式见附件）：</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 项目编号、项目名称</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 正本或副本</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 供应商名称（加盖公章）、地址、邮编、电话、传真</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4.1.3 为方便检查供应商的资格，请供应商另外单独准备一套资格、资质证明文件（复印件）并单独密封，在密封件正面加盖单位公章并在封面上注明“资格、资质证明文件”、供应商名称、地址、电话。在供应商报价的同时将“资格、资质证明文件”交磋商小组备查。</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4.1.4每一密封件在封口处加盖单位公章并注明“于2019年</w:t>
      </w: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val="en-US" w:eastAsia="zh-CN"/>
        </w:rPr>
        <w:t>9:00</w:t>
      </w:r>
      <w:r>
        <w:rPr>
          <w:rFonts w:hint="eastAsia" w:ascii="宋体" w:hAnsi="宋体" w:eastAsia="宋体" w:cs="宋体"/>
          <w:color w:val="auto"/>
          <w:sz w:val="24"/>
          <w:highlight w:val="none"/>
        </w:rPr>
        <w:t>时之前不准启封”字样。</w:t>
      </w:r>
    </w:p>
    <w:p>
      <w:pPr>
        <w:spacing w:line="440" w:lineRule="exact"/>
        <w:rPr>
          <w:rFonts w:ascii="宋体" w:hAnsi="宋体" w:eastAsia="宋体" w:cs="宋体"/>
          <w:b/>
          <w:color w:val="auto"/>
          <w:sz w:val="24"/>
          <w:highlight w:val="none"/>
        </w:rPr>
      </w:pPr>
      <w:bookmarkStart w:id="73" w:name="_Toc144974525"/>
      <w:bookmarkStart w:id="74" w:name="_Toc152042333"/>
      <w:bookmarkStart w:id="75" w:name="_Toc269310943"/>
      <w:bookmarkStart w:id="76" w:name="_Toc312072254"/>
      <w:bookmarkStart w:id="77" w:name="_Toc152045557"/>
      <w:r>
        <w:rPr>
          <w:rFonts w:hint="eastAsia" w:ascii="宋体" w:hAnsi="宋体" w:eastAsia="宋体" w:cs="宋体"/>
          <w:b/>
          <w:color w:val="auto"/>
          <w:sz w:val="24"/>
          <w:highlight w:val="none"/>
        </w:rPr>
        <w:t>4.2 响应文件的递交</w:t>
      </w:r>
      <w:bookmarkEnd w:id="73"/>
      <w:bookmarkEnd w:id="74"/>
      <w:bookmarkEnd w:id="75"/>
      <w:bookmarkEnd w:id="76"/>
      <w:bookmarkEnd w:id="77"/>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4.2.1供应商应在规定的报价截止时间前递交密封完好纸质响应文件。</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4.2.2 供应商递交纸质响应文件的地点：见供应商须知前附表。</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4.2.3 除供应商须知前附表另有规定外，供应商所递交的纸质响应文件不予退还。</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4.2.4 采购人收到纸质响应文件后，向供应商出具签收凭证。</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4.2.5 逾期送达的或者未送达指定地点的纸质响应文件，采购人不予受理。</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5. 报价</w:t>
      </w:r>
    </w:p>
    <w:p>
      <w:pPr>
        <w:spacing w:line="440" w:lineRule="exact"/>
        <w:rPr>
          <w:rFonts w:ascii="宋体" w:hAnsi="宋体" w:eastAsia="宋体" w:cs="宋体"/>
          <w:b/>
          <w:color w:val="auto"/>
          <w:sz w:val="24"/>
          <w:highlight w:val="none"/>
        </w:rPr>
      </w:pPr>
      <w:bookmarkStart w:id="78" w:name="_Toc269310947"/>
      <w:bookmarkStart w:id="79" w:name="_Toc312072257"/>
      <w:bookmarkStart w:id="80" w:name="_Toc152045560"/>
      <w:bookmarkStart w:id="81" w:name="_Toc152042336"/>
      <w:bookmarkStart w:id="82" w:name="_Toc144974528"/>
      <w:r>
        <w:rPr>
          <w:rFonts w:hint="eastAsia" w:ascii="宋体" w:hAnsi="宋体" w:eastAsia="宋体" w:cs="宋体"/>
          <w:b/>
          <w:color w:val="auto"/>
          <w:sz w:val="24"/>
          <w:highlight w:val="none"/>
        </w:rPr>
        <w:t>5.1 报价时间和地点</w:t>
      </w:r>
      <w:bookmarkEnd w:id="78"/>
      <w:bookmarkEnd w:id="79"/>
      <w:bookmarkEnd w:id="80"/>
      <w:bookmarkEnd w:id="81"/>
      <w:bookmarkEnd w:id="82"/>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采购人在供应商须知前附表规定的报价截止时间（报价时间）和地点公开开标。所有供应商的法定代表人（或其委托代理人）准时参加，供应商的法定代表人（或其委托代理人）未按时参加报价会议的，其响应文件将被拒绝。</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5.2 报价程序</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5.2.1按照磋商文件规定的时间、地点开标。监督人员、采购人、供应商参加。</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5.2.2 到报价截止时间，采购代理机构人员工作人员宣布报价截止等有关事项。</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5.2.3供应商相互检查响应文件的密封情况，法定代表人或其委托代理人签字确认。</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5.2.4供应商按照签到顺序依确定唱标顺序。</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5.2.5由代理机构工作人员开启响应文件。</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5.2.6公开唱标。</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5.2.7开标仪式结束，进入评审阶段。</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6. 磋商</w:t>
      </w:r>
    </w:p>
    <w:p>
      <w:pPr>
        <w:pStyle w:val="9"/>
        <w:spacing w:after="0" w:line="440" w:lineRule="exact"/>
        <w:ind w:firstLine="482" w:firstLineChars="200"/>
        <w:rPr>
          <w:rFonts w:eastAsia="宋体" w:cs="宋体"/>
          <w:b/>
          <w:color w:val="auto"/>
          <w:sz w:val="24"/>
          <w:highlight w:val="none"/>
        </w:rPr>
      </w:pPr>
      <w:r>
        <w:rPr>
          <w:rFonts w:hint="eastAsia" w:eastAsia="宋体" w:cs="宋体"/>
          <w:b/>
          <w:color w:val="auto"/>
          <w:sz w:val="24"/>
          <w:highlight w:val="none"/>
        </w:rPr>
        <w:t>6.1磋商小组</w:t>
      </w:r>
    </w:p>
    <w:p>
      <w:pPr>
        <w:pStyle w:val="9"/>
        <w:spacing w:after="0" w:line="440" w:lineRule="exact"/>
        <w:ind w:firstLine="480" w:firstLineChars="200"/>
        <w:rPr>
          <w:rFonts w:eastAsia="宋体" w:cs="宋体"/>
          <w:color w:val="auto"/>
          <w:sz w:val="24"/>
          <w:highlight w:val="none"/>
        </w:rPr>
      </w:pPr>
      <w:r>
        <w:rPr>
          <w:rFonts w:hint="eastAsia" w:eastAsia="宋体" w:cs="宋体"/>
          <w:color w:val="auto"/>
          <w:sz w:val="24"/>
          <w:highlight w:val="none"/>
        </w:rPr>
        <w:t>6.1.1磋商小组由采购人按照政府采购法律、法规的规定组建，采取随机抽取的方式产生，</w:t>
      </w:r>
      <w:r>
        <w:rPr>
          <w:rFonts w:hint="eastAsia" w:eastAsia="宋体" w:cs="宋体"/>
          <w:color w:val="auto"/>
          <w:sz w:val="24"/>
          <w:highlight w:val="none"/>
          <w:shd w:val="clear" w:color="auto" w:fill="FFFFFF"/>
        </w:rPr>
        <w:t>由采购人代表和评审专家共3人以上单数组成，其中评审专家人数不得少于磋商小组成员总数的2/3。</w:t>
      </w:r>
    </w:p>
    <w:p>
      <w:pPr>
        <w:spacing w:line="440" w:lineRule="exact"/>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6.1.2磋商小组成员有下列情形之一的，应当回避：</w:t>
      </w:r>
    </w:p>
    <w:p>
      <w:pPr>
        <w:spacing w:line="440" w:lineRule="exact"/>
        <w:ind w:firstLine="360" w:firstLineChars="150"/>
        <w:jc w:val="left"/>
        <w:rPr>
          <w:rFonts w:ascii="宋体" w:hAnsi="宋体" w:eastAsia="宋体" w:cs="宋体"/>
          <w:color w:val="auto"/>
          <w:sz w:val="24"/>
          <w:highlight w:val="none"/>
        </w:rPr>
      </w:pPr>
      <w:r>
        <w:rPr>
          <w:rFonts w:hint="eastAsia" w:ascii="宋体" w:hAnsi="宋体" w:eastAsia="宋体" w:cs="宋体"/>
          <w:color w:val="auto"/>
          <w:sz w:val="24"/>
          <w:highlight w:val="none"/>
        </w:rPr>
        <w:t>（1）采购人或供应商的主要负责人的近亲属；</w:t>
      </w:r>
    </w:p>
    <w:p>
      <w:pPr>
        <w:spacing w:line="440" w:lineRule="exact"/>
        <w:ind w:firstLine="360" w:firstLineChars="150"/>
        <w:jc w:val="left"/>
        <w:rPr>
          <w:rFonts w:ascii="宋体" w:hAnsi="宋体" w:eastAsia="宋体" w:cs="宋体"/>
          <w:color w:val="auto"/>
          <w:sz w:val="24"/>
          <w:highlight w:val="none"/>
        </w:rPr>
      </w:pPr>
      <w:r>
        <w:rPr>
          <w:rFonts w:hint="eastAsia" w:ascii="宋体" w:hAnsi="宋体" w:eastAsia="宋体" w:cs="宋体"/>
          <w:color w:val="auto"/>
          <w:sz w:val="24"/>
          <w:highlight w:val="none"/>
        </w:rPr>
        <w:t>（2）项目主管部门或者行政监督部门的人员；</w:t>
      </w:r>
    </w:p>
    <w:p>
      <w:pPr>
        <w:spacing w:line="440" w:lineRule="exact"/>
        <w:ind w:firstLine="360" w:firstLineChars="150"/>
        <w:jc w:val="left"/>
        <w:rPr>
          <w:rFonts w:ascii="宋体" w:hAnsi="宋体" w:eastAsia="宋体" w:cs="宋体"/>
          <w:color w:val="auto"/>
          <w:sz w:val="24"/>
          <w:highlight w:val="none"/>
        </w:rPr>
      </w:pPr>
      <w:r>
        <w:rPr>
          <w:rFonts w:hint="eastAsia" w:ascii="宋体" w:hAnsi="宋体" w:eastAsia="宋体" w:cs="宋体"/>
          <w:color w:val="auto"/>
          <w:sz w:val="24"/>
          <w:highlight w:val="none"/>
        </w:rPr>
        <w:t>（3）与供应商有经济利益关系，可能影响对报价公正评审的；</w:t>
      </w:r>
    </w:p>
    <w:p>
      <w:pPr>
        <w:spacing w:line="440" w:lineRule="exact"/>
        <w:ind w:firstLine="360" w:firstLineChars="150"/>
        <w:jc w:val="left"/>
        <w:rPr>
          <w:rFonts w:ascii="宋体" w:hAnsi="宋体" w:eastAsia="宋体" w:cs="宋体"/>
          <w:color w:val="auto"/>
          <w:sz w:val="24"/>
          <w:highlight w:val="none"/>
        </w:rPr>
      </w:pPr>
      <w:r>
        <w:rPr>
          <w:rFonts w:hint="eastAsia" w:ascii="宋体" w:hAnsi="宋体" w:eastAsia="宋体" w:cs="宋体"/>
          <w:color w:val="auto"/>
          <w:sz w:val="24"/>
          <w:highlight w:val="none"/>
        </w:rPr>
        <w:t>（4）曾因在采购、磋商以及其他与招标采购有关活动中从事违法行为而受过行政处罚或刑事处罚的。</w:t>
      </w:r>
    </w:p>
    <w:p>
      <w:pPr>
        <w:pStyle w:val="11"/>
        <w:spacing w:line="440" w:lineRule="exact"/>
        <w:ind w:left="0" w:leftChars="0" w:firstLine="482" w:firstLineChars="200"/>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6.2磋商原则</w:t>
      </w:r>
    </w:p>
    <w:p>
      <w:pPr>
        <w:pStyle w:val="9"/>
        <w:spacing w:after="0" w:line="440" w:lineRule="exact"/>
        <w:ind w:firstLine="480" w:firstLineChars="200"/>
        <w:rPr>
          <w:rFonts w:eastAsia="宋体" w:cs="宋体"/>
          <w:color w:val="auto"/>
          <w:sz w:val="24"/>
          <w:highlight w:val="none"/>
        </w:rPr>
      </w:pPr>
      <w:r>
        <w:rPr>
          <w:rFonts w:hint="eastAsia" w:eastAsia="宋体" w:cs="宋体"/>
          <w:color w:val="auto"/>
          <w:sz w:val="24"/>
          <w:highlight w:val="none"/>
        </w:rPr>
        <w:t>“公平、公正、择优、效益”为本次竞争性磋商的基本原则，磋商小组按照这一原则的要求，公正、平等地对待各供应商。同时，在磋商过程中恪守以下原则：</w:t>
      </w:r>
    </w:p>
    <w:p>
      <w:pPr>
        <w:pStyle w:val="9"/>
        <w:spacing w:after="0" w:line="440" w:lineRule="exact"/>
        <w:ind w:firstLine="480" w:firstLineChars="200"/>
        <w:rPr>
          <w:rFonts w:eastAsia="宋体" w:cs="宋体"/>
          <w:color w:val="auto"/>
          <w:sz w:val="24"/>
          <w:highlight w:val="none"/>
        </w:rPr>
      </w:pPr>
      <w:r>
        <w:rPr>
          <w:rFonts w:hint="eastAsia" w:eastAsia="宋体" w:cs="宋体"/>
          <w:color w:val="auto"/>
          <w:sz w:val="24"/>
          <w:highlight w:val="none"/>
        </w:rPr>
        <w:t xml:space="preserve">6.2.1客观性原则：磋商小组将严格按照磋商文件要求的内容，对供应商的响应文件进行认真评审；磋商小组对响应文件的评审仅依据响应文件本身，而不依靠响应文件以外的任何因素； </w:t>
      </w:r>
    </w:p>
    <w:p>
      <w:pPr>
        <w:pStyle w:val="9"/>
        <w:spacing w:after="0" w:line="440" w:lineRule="exact"/>
        <w:ind w:firstLine="480" w:firstLineChars="200"/>
        <w:rPr>
          <w:rFonts w:eastAsia="宋体" w:cs="宋体"/>
          <w:color w:val="auto"/>
          <w:sz w:val="24"/>
          <w:highlight w:val="none"/>
        </w:rPr>
      </w:pPr>
      <w:r>
        <w:rPr>
          <w:rFonts w:hint="eastAsia" w:eastAsia="宋体" w:cs="宋体"/>
          <w:color w:val="auto"/>
          <w:sz w:val="24"/>
          <w:highlight w:val="none"/>
        </w:rPr>
        <w:t>6.2.2 统一性原则：磋商小组将按照统一的磋商原则和评审方法，用同一标准对各供应商的响应文件进行评审；</w:t>
      </w:r>
    </w:p>
    <w:p>
      <w:pPr>
        <w:pStyle w:val="9"/>
        <w:spacing w:after="0" w:line="440" w:lineRule="exact"/>
        <w:ind w:firstLine="480" w:firstLineChars="200"/>
        <w:rPr>
          <w:rFonts w:eastAsia="宋体" w:cs="宋体"/>
          <w:color w:val="auto"/>
          <w:sz w:val="24"/>
          <w:highlight w:val="none"/>
        </w:rPr>
      </w:pPr>
      <w:r>
        <w:rPr>
          <w:rFonts w:hint="eastAsia" w:eastAsia="宋体" w:cs="宋体"/>
          <w:color w:val="auto"/>
          <w:sz w:val="24"/>
          <w:highlight w:val="none"/>
        </w:rPr>
        <w:t>6.2.3 独立性原则：评审工作在磋商小组内部独立进行，不受外界任何因素的干扰和影响。磋商小组成员对出具的磋商意见承担个人责任；</w:t>
      </w:r>
    </w:p>
    <w:p>
      <w:pPr>
        <w:pStyle w:val="9"/>
        <w:spacing w:after="0" w:line="440" w:lineRule="exact"/>
        <w:ind w:firstLine="480" w:firstLineChars="200"/>
        <w:rPr>
          <w:rFonts w:eastAsia="宋体" w:cs="宋体"/>
          <w:color w:val="auto"/>
          <w:sz w:val="24"/>
          <w:highlight w:val="none"/>
        </w:rPr>
      </w:pPr>
      <w:r>
        <w:rPr>
          <w:rFonts w:hint="eastAsia" w:eastAsia="宋体" w:cs="宋体"/>
          <w:color w:val="auto"/>
          <w:sz w:val="24"/>
          <w:highlight w:val="none"/>
        </w:rPr>
        <w:t>6.2.4 物有所值原则：通过第一轮的公开报价，激发供应商展开竞争，进一步优化方案，并使报价符合预期目标；</w:t>
      </w:r>
    </w:p>
    <w:p>
      <w:pPr>
        <w:pStyle w:val="9"/>
        <w:spacing w:after="0" w:line="440" w:lineRule="exact"/>
        <w:ind w:firstLine="480" w:firstLineChars="200"/>
        <w:rPr>
          <w:rFonts w:eastAsia="宋体" w:cs="宋体"/>
          <w:color w:val="auto"/>
          <w:sz w:val="24"/>
          <w:highlight w:val="none"/>
        </w:rPr>
      </w:pPr>
      <w:r>
        <w:rPr>
          <w:rFonts w:hint="eastAsia" w:eastAsia="宋体" w:cs="宋体"/>
          <w:color w:val="auto"/>
          <w:sz w:val="24"/>
          <w:highlight w:val="none"/>
        </w:rPr>
        <w:t>6.2.5保密性原则：保证磋商在严格保密的情况下进行；</w:t>
      </w:r>
    </w:p>
    <w:p>
      <w:pPr>
        <w:pStyle w:val="9"/>
        <w:spacing w:after="0" w:line="440" w:lineRule="exact"/>
        <w:ind w:firstLine="480" w:firstLineChars="200"/>
        <w:rPr>
          <w:rFonts w:eastAsia="宋体" w:cs="宋体"/>
          <w:color w:val="auto"/>
          <w:sz w:val="24"/>
          <w:highlight w:val="none"/>
        </w:rPr>
      </w:pPr>
      <w:r>
        <w:rPr>
          <w:rFonts w:hint="eastAsia" w:eastAsia="宋体" w:cs="宋体"/>
          <w:color w:val="auto"/>
          <w:sz w:val="24"/>
          <w:highlight w:val="none"/>
        </w:rPr>
        <w:t>6.2.6 综合性原则：磋商小组将综合分析、评审供应商的各项指标，而不以单项指标的优劣推荐出成交候选人；</w:t>
      </w:r>
    </w:p>
    <w:p>
      <w:pPr>
        <w:pStyle w:val="9"/>
        <w:spacing w:after="0" w:line="440" w:lineRule="exact"/>
        <w:ind w:firstLine="480" w:firstLineChars="200"/>
        <w:rPr>
          <w:rFonts w:eastAsia="宋体" w:cs="宋体"/>
          <w:color w:val="auto"/>
          <w:sz w:val="24"/>
          <w:highlight w:val="none"/>
        </w:rPr>
      </w:pPr>
      <w:r>
        <w:rPr>
          <w:rFonts w:hint="eastAsia" w:eastAsia="宋体" w:cs="宋体"/>
          <w:color w:val="auto"/>
          <w:sz w:val="24"/>
          <w:highlight w:val="none"/>
        </w:rPr>
        <w:t>6.2.7 集体决定的原则：成交候选人由磋商小组集体推荐，并由监督人宣布成交候选人。</w:t>
      </w:r>
    </w:p>
    <w:p>
      <w:pPr>
        <w:pStyle w:val="11"/>
        <w:spacing w:line="440" w:lineRule="exact"/>
        <w:ind w:left="0" w:leftChars="0" w:firstLine="482" w:firstLineChars="200"/>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6.3评审方法</w:t>
      </w:r>
    </w:p>
    <w:p>
      <w:pPr>
        <w:spacing w:line="440" w:lineRule="exact"/>
        <w:ind w:firstLine="360" w:firstLineChars="150"/>
        <w:rPr>
          <w:rFonts w:ascii="宋体" w:hAnsi="宋体" w:eastAsia="宋体" w:cs="宋体"/>
          <w:color w:val="auto"/>
          <w:sz w:val="24"/>
          <w:highlight w:val="none"/>
        </w:rPr>
      </w:pPr>
      <w:r>
        <w:rPr>
          <w:rFonts w:hint="eastAsia" w:ascii="宋体" w:hAnsi="宋体" w:eastAsia="宋体" w:cs="宋体"/>
          <w:color w:val="auto"/>
          <w:sz w:val="24"/>
          <w:highlight w:val="none"/>
        </w:rPr>
        <w:t>6.3.1本次磋商采用综合评分法，磋商小组综合评定各供应商提交的响应文件，由磋商小组综合各成员评分意见，推荐成交候选人。</w:t>
      </w:r>
    </w:p>
    <w:p>
      <w:pPr>
        <w:spacing w:line="440" w:lineRule="exact"/>
        <w:ind w:firstLine="360" w:firstLineChars="150"/>
        <w:rPr>
          <w:rFonts w:ascii="宋体" w:hAnsi="宋体" w:eastAsia="宋体" w:cs="宋体"/>
          <w:color w:val="auto"/>
          <w:sz w:val="24"/>
          <w:highlight w:val="none"/>
        </w:rPr>
      </w:pPr>
      <w:r>
        <w:rPr>
          <w:rFonts w:hint="eastAsia" w:ascii="宋体" w:hAnsi="宋体" w:eastAsia="宋体" w:cs="宋体"/>
          <w:color w:val="auto"/>
          <w:sz w:val="24"/>
          <w:highlight w:val="none"/>
        </w:rPr>
        <w:t>6.3.2  初步评审</w:t>
      </w:r>
    </w:p>
    <w:p>
      <w:pPr>
        <w:spacing w:line="440" w:lineRule="exact"/>
        <w:ind w:firstLine="360" w:firstLineChars="150"/>
        <w:rPr>
          <w:rFonts w:ascii="宋体" w:hAnsi="宋体" w:eastAsia="宋体" w:cs="宋体"/>
          <w:color w:val="auto"/>
          <w:sz w:val="24"/>
          <w:highlight w:val="none"/>
        </w:rPr>
      </w:pPr>
      <w:r>
        <w:rPr>
          <w:rFonts w:hint="eastAsia" w:ascii="宋体" w:hAnsi="宋体" w:eastAsia="宋体" w:cs="宋体"/>
          <w:color w:val="auto"/>
          <w:sz w:val="24"/>
          <w:highlight w:val="none"/>
        </w:rPr>
        <w:t>（1）磋商小组将确定每一供应商是否对竞争性磋商磋商文件的要求做出了实质性的响应，而没有重大偏离。实质性响应的报价是指报价符合竞争性磋商磋商文件的所有条款、条件和规定且没有重大偏离或保留。</w:t>
      </w:r>
    </w:p>
    <w:p>
      <w:pPr>
        <w:spacing w:line="440" w:lineRule="exact"/>
        <w:ind w:firstLine="360" w:firstLineChars="150"/>
        <w:rPr>
          <w:rFonts w:ascii="宋体" w:hAnsi="宋体" w:eastAsia="宋体" w:cs="宋体"/>
          <w:color w:val="auto"/>
          <w:sz w:val="24"/>
          <w:highlight w:val="none"/>
        </w:rPr>
      </w:pPr>
      <w:r>
        <w:rPr>
          <w:rFonts w:hint="eastAsia" w:ascii="宋体" w:hAnsi="宋体" w:eastAsia="宋体" w:cs="宋体"/>
          <w:color w:val="auto"/>
          <w:sz w:val="24"/>
          <w:highlight w:val="none"/>
        </w:rPr>
        <w:t>（2）如出现下列情形之一的，视为对竞争性磋商磋商文件没有做出实质性响应，按照无效报价处理。</w:t>
      </w:r>
    </w:p>
    <w:p>
      <w:pPr>
        <w:spacing w:line="440" w:lineRule="exact"/>
        <w:ind w:firstLine="360" w:firstLineChars="150"/>
        <w:rPr>
          <w:rFonts w:ascii="宋体" w:hAnsi="宋体" w:eastAsia="宋体" w:cs="宋体"/>
          <w:color w:val="auto"/>
          <w:sz w:val="24"/>
          <w:highlight w:val="none"/>
        </w:rPr>
      </w:pPr>
      <w:r>
        <w:rPr>
          <w:rFonts w:hint="eastAsia" w:ascii="宋体" w:hAnsi="宋体" w:eastAsia="宋体" w:cs="宋体"/>
          <w:color w:val="auto"/>
          <w:sz w:val="24"/>
          <w:highlight w:val="none"/>
        </w:rPr>
        <w:t>a) 响应文件不完整；</w:t>
      </w:r>
    </w:p>
    <w:p>
      <w:pPr>
        <w:spacing w:line="440" w:lineRule="exact"/>
        <w:ind w:firstLine="360" w:firstLineChars="150"/>
        <w:rPr>
          <w:rFonts w:ascii="宋体" w:hAnsi="宋体" w:eastAsia="宋体" w:cs="宋体"/>
          <w:color w:val="auto"/>
          <w:sz w:val="24"/>
          <w:highlight w:val="none"/>
        </w:rPr>
      </w:pPr>
      <w:r>
        <w:rPr>
          <w:rFonts w:hint="eastAsia" w:ascii="宋体" w:hAnsi="宋体" w:eastAsia="宋体" w:cs="宋体"/>
          <w:color w:val="auto"/>
          <w:sz w:val="24"/>
          <w:highlight w:val="none"/>
        </w:rPr>
        <w:t>b) 未按规定报价；</w:t>
      </w:r>
    </w:p>
    <w:p>
      <w:pPr>
        <w:spacing w:line="440" w:lineRule="exact"/>
        <w:ind w:firstLine="360" w:firstLineChars="150"/>
        <w:rPr>
          <w:rFonts w:ascii="宋体" w:hAnsi="宋体" w:eastAsia="宋体" w:cs="宋体"/>
          <w:color w:val="auto"/>
          <w:sz w:val="24"/>
          <w:highlight w:val="none"/>
        </w:rPr>
      </w:pPr>
      <w:r>
        <w:rPr>
          <w:rFonts w:hint="eastAsia" w:ascii="宋体" w:hAnsi="宋体" w:eastAsia="宋体" w:cs="宋体"/>
          <w:color w:val="auto"/>
          <w:sz w:val="24"/>
          <w:highlight w:val="none"/>
        </w:rPr>
        <w:t>c) 报价有计算错误；</w:t>
      </w:r>
    </w:p>
    <w:p>
      <w:pPr>
        <w:spacing w:line="440" w:lineRule="exact"/>
        <w:ind w:firstLine="360" w:firstLineChars="150"/>
        <w:rPr>
          <w:rFonts w:ascii="宋体" w:hAnsi="宋体" w:eastAsia="宋体" w:cs="宋体"/>
          <w:color w:val="auto"/>
          <w:sz w:val="24"/>
          <w:highlight w:val="none"/>
        </w:rPr>
      </w:pPr>
      <w:r>
        <w:rPr>
          <w:rFonts w:hint="eastAsia" w:ascii="宋体" w:hAnsi="宋体" w:eastAsia="宋体" w:cs="宋体"/>
          <w:color w:val="auto"/>
          <w:sz w:val="24"/>
          <w:highlight w:val="none"/>
        </w:rPr>
        <w:t>d) 响应文件未按竞争性磋商文件要求签字或盖章；</w:t>
      </w:r>
    </w:p>
    <w:p>
      <w:pPr>
        <w:spacing w:line="440" w:lineRule="exact"/>
        <w:ind w:firstLine="360" w:firstLineChars="150"/>
        <w:rPr>
          <w:rFonts w:ascii="宋体" w:hAnsi="宋体" w:eastAsia="宋体" w:cs="宋体"/>
          <w:color w:val="auto"/>
          <w:sz w:val="24"/>
          <w:highlight w:val="none"/>
        </w:rPr>
      </w:pPr>
      <w:r>
        <w:rPr>
          <w:rFonts w:hint="eastAsia" w:ascii="宋体" w:hAnsi="宋体" w:eastAsia="宋体" w:cs="宋体"/>
          <w:color w:val="auto"/>
          <w:sz w:val="24"/>
          <w:highlight w:val="none"/>
        </w:rPr>
        <w:t>e) 响应文件载明的服务周期超过竞争性磋商磋商文件规定的时间；</w:t>
      </w:r>
    </w:p>
    <w:p>
      <w:pPr>
        <w:spacing w:line="440" w:lineRule="exact"/>
        <w:ind w:firstLine="360" w:firstLineChars="150"/>
        <w:rPr>
          <w:rFonts w:ascii="宋体" w:hAnsi="宋体" w:eastAsia="宋体" w:cs="宋体"/>
          <w:color w:val="auto"/>
          <w:sz w:val="24"/>
          <w:highlight w:val="none"/>
        </w:rPr>
      </w:pPr>
      <w:r>
        <w:rPr>
          <w:rFonts w:hint="eastAsia" w:ascii="宋体" w:hAnsi="宋体" w:eastAsia="宋体" w:cs="宋体"/>
          <w:color w:val="auto"/>
          <w:sz w:val="24"/>
          <w:highlight w:val="none"/>
        </w:rPr>
        <w:t>f) 供应商未按要求不参加公开报价仪式及询标事宜；</w:t>
      </w:r>
    </w:p>
    <w:p>
      <w:pPr>
        <w:spacing w:line="440" w:lineRule="exact"/>
        <w:ind w:firstLine="360" w:firstLineChars="150"/>
        <w:rPr>
          <w:rFonts w:ascii="宋体" w:hAnsi="宋体" w:eastAsia="宋体" w:cs="宋体"/>
          <w:color w:val="auto"/>
          <w:sz w:val="24"/>
          <w:highlight w:val="none"/>
        </w:rPr>
      </w:pPr>
      <w:r>
        <w:rPr>
          <w:rFonts w:hint="eastAsia" w:ascii="宋体" w:hAnsi="宋体" w:eastAsia="宋体" w:cs="宋体"/>
          <w:color w:val="auto"/>
          <w:sz w:val="24"/>
          <w:highlight w:val="none"/>
        </w:rPr>
        <w:t>g) 响应文件出现采购人名称、项目名称、技术参数等与磋商文件相关内容严重不一致的；</w:t>
      </w:r>
    </w:p>
    <w:p>
      <w:pPr>
        <w:spacing w:line="440" w:lineRule="exact"/>
        <w:ind w:firstLine="360" w:firstLineChars="150"/>
        <w:rPr>
          <w:rFonts w:ascii="宋体" w:hAnsi="宋体" w:eastAsia="宋体" w:cs="宋体"/>
          <w:color w:val="auto"/>
          <w:sz w:val="24"/>
          <w:highlight w:val="none"/>
        </w:rPr>
      </w:pPr>
      <w:r>
        <w:rPr>
          <w:rFonts w:hint="eastAsia" w:ascii="宋体" w:hAnsi="宋体" w:eastAsia="宋体" w:cs="宋体"/>
          <w:color w:val="auto"/>
          <w:sz w:val="24"/>
          <w:highlight w:val="none"/>
        </w:rPr>
        <w:t>h) 不符合竞争性磋商磋商文件中规定的其他实质性要求。</w:t>
      </w:r>
    </w:p>
    <w:p>
      <w:pPr>
        <w:spacing w:line="440" w:lineRule="exact"/>
        <w:ind w:firstLine="360" w:firstLineChars="150"/>
        <w:rPr>
          <w:rFonts w:ascii="宋体" w:hAnsi="宋体" w:eastAsia="宋体" w:cs="宋体"/>
          <w:color w:val="auto"/>
          <w:sz w:val="24"/>
          <w:highlight w:val="none"/>
        </w:rPr>
      </w:pPr>
      <w:r>
        <w:rPr>
          <w:rFonts w:hint="eastAsia" w:ascii="宋体" w:hAnsi="宋体" w:eastAsia="宋体" w:cs="宋体"/>
          <w:color w:val="auto"/>
          <w:sz w:val="24"/>
          <w:highlight w:val="none"/>
        </w:rPr>
        <w:t>（3）磋商小组允许供应商修改响应文件中不构成重大偏离的、微小的、非正规、不一致或不规则的地方。但是修改的内容不能改变响应文件的实质性内容，供应商修改的内容以书面文件为准。</w:t>
      </w:r>
    </w:p>
    <w:p>
      <w:pPr>
        <w:spacing w:line="440" w:lineRule="exact"/>
        <w:ind w:firstLine="360" w:firstLineChars="150"/>
        <w:rPr>
          <w:rFonts w:ascii="宋体" w:hAnsi="宋体" w:eastAsia="宋体" w:cs="宋体"/>
          <w:color w:val="auto"/>
          <w:sz w:val="24"/>
          <w:highlight w:val="none"/>
        </w:rPr>
      </w:pPr>
      <w:r>
        <w:rPr>
          <w:rFonts w:hint="eastAsia" w:ascii="宋体" w:hAnsi="宋体" w:eastAsia="宋体" w:cs="宋体"/>
          <w:color w:val="auto"/>
          <w:sz w:val="24"/>
          <w:highlight w:val="none"/>
        </w:rPr>
        <w:t>（4）磋商小组将拒绝被确定为非实质性响应的响应文件，供应商不能通过修正或撤销响应文件中的不符之处而使其报价成为实质性响应的报价。</w:t>
      </w:r>
    </w:p>
    <w:p>
      <w:pPr>
        <w:spacing w:line="440" w:lineRule="exact"/>
        <w:ind w:firstLine="360" w:firstLineChars="150"/>
        <w:rPr>
          <w:rFonts w:ascii="宋体" w:hAnsi="宋体" w:eastAsia="宋体" w:cs="宋体"/>
          <w:color w:val="auto"/>
          <w:sz w:val="24"/>
          <w:highlight w:val="none"/>
        </w:rPr>
      </w:pPr>
      <w:r>
        <w:rPr>
          <w:rFonts w:hint="eastAsia" w:ascii="宋体" w:hAnsi="宋体" w:eastAsia="宋体" w:cs="宋体"/>
          <w:color w:val="auto"/>
          <w:sz w:val="24"/>
          <w:highlight w:val="none"/>
        </w:rPr>
        <w:t>（5）磋商小组对各供应商的报价进行评审，对超出项目预算的报价或低于成本价的报价予以淘汰。磋商小组发现供应商的报价明显低于其他供应商报价的，使得其报价可能低于其个别成本的，应当要求该供应商作出书面说明并提供相关证明材料。供应商不能合理说明或者不能提供相关证明材料，由磋商小组认定该供应商以低于成本报价竞标，其报价应作为废标处理。</w:t>
      </w:r>
    </w:p>
    <w:p>
      <w:pPr>
        <w:pStyle w:val="11"/>
        <w:spacing w:line="440" w:lineRule="exact"/>
        <w:ind w:left="0" w:leftChars="0" w:firstLine="480" w:firstLineChars="200"/>
        <w:rPr>
          <w:rFonts w:ascii="宋体" w:hAnsi="宋体" w:eastAsia="宋体" w:cs="宋体"/>
          <w:color w:val="auto"/>
          <w:kern w:val="0"/>
          <w:sz w:val="24"/>
          <w:highlight w:val="none"/>
        </w:rPr>
      </w:pPr>
      <w:r>
        <w:rPr>
          <w:rFonts w:hint="eastAsia" w:ascii="宋体" w:hAnsi="宋体" w:eastAsia="宋体" w:cs="宋体"/>
          <w:color w:val="auto"/>
          <w:sz w:val="24"/>
          <w:highlight w:val="none"/>
        </w:rPr>
        <w:t>6.3.</w:t>
      </w:r>
      <w:r>
        <w:rPr>
          <w:rFonts w:hint="eastAsia" w:ascii="宋体" w:hAnsi="宋体" w:eastAsia="宋体" w:cs="宋体"/>
          <w:color w:val="auto"/>
          <w:kern w:val="0"/>
          <w:sz w:val="24"/>
          <w:highlight w:val="none"/>
        </w:rPr>
        <w:t>3磋商及最终响应文件</w:t>
      </w:r>
    </w:p>
    <w:p>
      <w:pPr>
        <w:spacing w:line="440" w:lineRule="exact"/>
        <w:ind w:firstLine="360" w:firstLineChars="150"/>
        <w:rPr>
          <w:rFonts w:ascii="宋体" w:hAnsi="宋体" w:eastAsia="宋体" w:cs="宋体"/>
          <w:color w:val="auto"/>
          <w:sz w:val="24"/>
          <w:highlight w:val="none"/>
        </w:rPr>
      </w:pPr>
      <w:r>
        <w:rPr>
          <w:rFonts w:hint="eastAsia" w:ascii="宋体" w:hAnsi="宋体" w:eastAsia="宋体" w:cs="宋体"/>
          <w:color w:val="auto"/>
          <w:sz w:val="24"/>
          <w:highlight w:val="none"/>
        </w:rPr>
        <w:t xml:space="preserve"> 磋商小组所有成员应当集中与单一供应商分别进行磋商，并给予所有参加磋商的供应商平等的磋商机会。</w:t>
      </w:r>
    </w:p>
    <w:p>
      <w:pPr>
        <w:spacing w:line="440" w:lineRule="exact"/>
        <w:ind w:firstLine="360" w:firstLineChars="150"/>
        <w:rPr>
          <w:rFonts w:ascii="宋体" w:hAnsi="宋体" w:eastAsia="宋体" w:cs="宋体"/>
          <w:color w:val="auto"/>
          <w:sz w:val="24"/>
          <w:highlight w:val="none"/>
        </w:rPr>
      </w:pPr>
      <w:r>
        <w:rPr>
          <w:rFonts w:hint="eastAsia" w:ascii="宋体" w:hAnsi="宋体" w:eastAsia="宋体" w:cs="宋体"/>
          <w:color w:val="auto"/>
          <w:sz w:val="24"/>
          <w:highlight w:val="none"/>
        </w:rPr>
        <w:t xml:space="preserve"> 在磋商过程中，磋商小组可以根据磋商文件和磋商情况实质性变动采购需求中的技术、服务要求以及合同草案条款，但不得变动磋商文件中的其他内容。实质性变动的内容，须经采购人代表确认。</w:t>
      </w:r>
    </w:p>
    <w:p>
      <w:pPr>
        <w:spacing w:line="440" w:lineRule="exact"/>
        <w:ind w:firstLine="360" w:firstLineChars="150"/>
        <w:rPr>
          <w:rFonts w:ascii="宋体" w:hAnsi="宋体" w:eastAsia="宋体" w:cs="宋体"/>
          <w:color w:val="auto"/>
          <w:sz w:val="24"/>
          <w:highlight w:val="none"/>
        </w:rPr>
      </w:pPr>
      <w:r>
        <w:rPr>
          <w:rFonts w:hint="eastAsia" w:ascii="宋体" w:hAnsi="宋体" w:eastAsia="宋体" w:cs="宋体"/>
          <w:color w:val="auto"/>
          <w:sz w:val="24"/>
          <w:highlight w:val="none"/>
        </w:rPr>
        <w:t xml:space="preserve"> 对磋商文件作出的实质性变动是磋商文件的有效组成部分，磋商小组应当及时以书面形式同时通知所有参加磋商的供应商。</w:t>
      </w:r>
    </w:p>
    <w:p>
      <w:pPr>
        <w:spacing w:line="440" w:lineRule="exact"/>
        <w:ind w:firstLine="360" w:firstLineChars="150"/>
        <w:rPr>
          <w:rFonts w:ascii="宋体" w:hAnsi="宋体" w:eastAsia="宋体" w:cs="宋体"/>
          <w:color w:val="auto"/>
          <w:sz w:val="24"/>
          <w:highlight w:val="none"/>
        </w:rPr>
      </w:pPr>
      <w:r>
        <w:rPr>
          <w:rFonts w:hint="eastAsia" w:ascii="宋体" w:hAnsi="宋体" w:eastAsia="宋体" w:cs="宋体"/>
          <w:color w:val="auto"/>
          <w:sz w:val="24"/>
          <w:highlight w:val="none"/>
        </w:rPr>
        <w:t xml:space="preserve"> 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spacing w:line="440" w:lineRule="exact"/>
        <w:ind w:firstLine="360" w:firstLineChars="150"/>
        <w:rPr>
          <w:rFonts w:ascii="宋体" w:hAnsi="宋体" w:eastAsia="宋体" w:cs="宋体"/>
          <w:color w:val="auto"/>
          <w:sz w:val="24"/>
          <w:highlight w:val="none"/>
        </w:rPr>
      </w:pPr>
      <w:r>
        <w:rPr>
          <w:rFonts w:hint="eastAsia" w:ascii="宋体" w:hAnsi="宋体" w:eastAsia="宋体" w:cs="宋体"/>
          <w:color w:val="auto"/>
          <w:sz w:val="24"/>
          <w:highlight w:val="none"/>
        </w:rPr>
        <w:t xml:space="preserve"> 最终响应文件应以密封形式递交，并在文件封面明显处注明项目编号、项目名称及供应商名称(加盖单位公章或授权人签字)。</w:t>
      </w:r>
    </w:p>
    <w:p>
      <w:pPr>
        <w:spacing w:line="440" w:lineRule="exact"/>
        <w:ind w:firstLine="360" w:firstLineChars="150"/>
        <w:rPr>
          <w:rFonts w:ascii="宋体" w:hAnsi="宋体" w:eastAsia="宋体" w:cs="宋体"/>
          <w:color w:val="auto"/>
          <w:sz w:val="24"/>
          <w:highlight w:val="none"/>
        </w:rPr>
      </w:pPr>
      <w:r>
        <w:rPr>
          <w:rFonts w:hint="eastAsia" w:ascii="宋体" w:hAnsi="宋体" w:eastAsia="宋体" w:cs="宋体"/>
          <w:color w:val="auto"/>
          <w:sz w:val="24"/>
          <w:highlight w:val="none"/>
        </w:rPr>
        <w:t xml:space="preserve"> 采购人将拒绝接收提交最终响应文件截止时间后送达的最终响应文件，在提交最终响应文件截止时间之后，供应商不得补充、修改、撤回最终响应文件。</w:t>
      </w:r>
    </w:p>
    <w:p>
      <w:pPr>
        <w:spacing w:line="440" w:lineRule="exact"/>
        <w:ind w:firstLine="360" w:firstLineChars="150"/>
        <w:rPr>
          <w:rFonts w:ascii="宋体" w:hAnsi="宋体" w:eastAsia="宋体" w:cs="宋体"/>
          <w:color w:val="auto"/>
          <w:sz w:val="24"/>
          <w:highlight w:val="none"/>
        </w:rPr>
      </w:pPr>
      <w:r>
        <w:rPr>
          <w:rFonts w:hint="eastAsia" w:ascii="宋体" w:hAnsi="宋体" w:eastAsia="宋体" w:cs="宋体"/>
          <w:color w:val="auto"/>
          <w:sz w:val="24"/>
          <w:highlight w:val="none"/>
        </w:rPr>
        <w:t xml:space="preserve"> 经磋商确定最终采购需求和提交最后报价的供应商后，由磋商小组采用综合评分法对提交最后报价的供应商的响应文件和最后报价进行综合评分。</w:t>
      </w:r>
    </w:p>
    <w:p>
      <w:pPr>
        <w:pStyle w:val="9"/>
        <w:spacing w:after="0" w:line="440" w:lineRule="exact"/>
        <w:ind w:firstLine="480" w:firstLineChars="200"/>
        <w:rPr>
          <w:rFonts w:eastAsia="宋体" w:cs="宋体"/>
          <w:color w:val="auto"/>
          <w:kern w:val="2"/>
          <w:sz w:val="24"/>
          <w:highlight w:val="none"/>
        </w:rPr>
      </w:pPr>
      <w:r>
        <w:rPr>
          <w:rFonts w:hint="eastAsia" w:eastAsia="宋体" w:cs="宋体"/>
          <w:color w:val="auto"/>
          <w:kern w:val="2"/>
          <w:sz w:val="24"/>
          <w:highlight w:val="none"/>
        </w:rPr>
        <w:t>6.3.4  详细评审</w:t>
      </w:r>
    </w:p>
    <w:p>
      <w:pPr>
        <w:spacing w:line="440" w:lineRule="exact"/>
        <w:ind w:firstLine="360" w:firstLineChars="150"/>
        <w:rPr>
          <w:rFonts w:ascii="宋体" w:hAnsi="宋体" w:eastAsia="宋体" w:cs="宋体"/>
          <w:color w:val="auto"/>
          <w:sz w:val="24"/>
          <w:highlight w:val="none"/>
        </w:rPr>
      </w:pPr>
      <w:r>
        <w:rPr>
          <w:rFonts w:hint="eastAsia" w:ascii="宋体" w:hAnsi="宋体" w:eastAsia="宋体" w:cs="宋体"/>
          <w:color w:val="auto"/>
          <w:sz w:val="24"/>
          <w:highlight w:val="none"/>
        </w:rPr>
        <w:t>（1）经磋商确定最终采购需求和提交最后报价的供应商后，由磋商小组采用综合评分法对提交最后报价的供应商的响应文件和最后报价进行综合评分。</w:t>
      </w:r>
    </w:p>
    <w:p>
      <w:pPr>
        <w:spacing w:line="440" w:lineRule="exact"/>
        <w:ind w:firstLine="360" w:firstLineChars="150"/>
        <w:rPr>
          <w:rFonts w:ascii="宋体" w:hAnsi="宋体" w:eastAsia="宋体" w:cs="宋体"/>
          <w:color w:val="auto"/>
          <w:sz w:val="24"/>
          <w:highlight w:val="none"/>
        </w:rPr>
      </w:pPr>
      <w:r>
        <w:rPr>
          <w:rFonts w:hint="eastAsia" w:ascii="宋体" w:hAnsi="宋体" w:eastAsia="宋体" w:cs="宋体"/>
          <w:color w:val="auto"/>
          <w:sz w:val="24"/>
          <w:highlight w:val="none"/>
        </w:rPr>
        <w:t>综合评分法，是指响应文件满足磋商文件全部实质性要求且按评审因素的量化指标评审得分最高的供应商为成交候选供应商的评审方法。具体评审办法详见“评分标准”。</w:t>
      </w:r>
    </w:p>
    <w:p>
      <w:pPr>
        <w:spacing w:line="440" w:lineRule="exact"/>
        <w:ind w:firstLine="360" w:firstLineChars="150"/>
        <w:rPr>
          <w:rFonts w:ascii="宋体" w:hAnsi="宋体" w:eastAsia="宋体" w:cs="宋体"/>
          <w:color w:val="auto"/>
          <w:sz w:val="24"/>
          <w:highlight w:val="none"/>
        </w:rPr>
      </w:pPr>
      <w:r>
        <w:rPr>
          <w:rFonts w:hint="eastAsia" w:ascii="宋体" w:hAnsi="宋体" w:eastAsia="宋体" w:cs="宋体"/>
          <w:color w:val="auto"/>
          <w:sz w:val="24"/>
          <w:highlight w:val="none"/>
        </w:rPr>
        <w:t>（2）当出现二个或二个以上供应商的最终得分相同时，磋商小组应依次按照先商务标、再资信标、后技术标得分高低进行排序；即商务标得分高的排序优先，如商务标得分相同时，则资信标得分高的排序优先，如商务标与资信标得分均相同时，则技术标得分高的排序优先，以上3项得分都相同时，磋商小组全体成员按照少数服从多数的原则，以记名投票方式表决。</w:t>
      </w:r>
    </w:p>
    <w:p>
      <w:pPr>
        <w:spacing w:line="440" w:lineRule="exact"/>
        <w:ind w:firstLine="360" w:firstLineChars="150"/>
        <w:rPr>
          <w:rFonts w:ascii="宋体" w:hAnsi="宋体" w:eastAsia="宋体" w:cs="宋体"/>
          <w:color w:val="auto"/>
          <w:sz w:val="24"/>
          <w:highlight w:val="none"/>
        </w:rPr>
      </w:pPr>
      <w:r>
        <w:rPr>
          <w:rFonts w:hint="eastAsia" w:ascii="宋体" w:hAnsi="宋体" w:eastAsia="宋体" w:cs="宋体"/>
          <w:color w:val="auto"/>
          <w:sz w:val="24"/>
          <w:highlight w:val="none"/>
        </w:rPr>
        <w:t>磋商小组依据评标方法及评标细则，对响应文件进行评审和比较，向采购人提出书面评标报告，并按得分高低排列顺序，各标段分别推荐3名合格的中标候选人。</w:t>
      </w:r>
    </w:p>
    <w:p>
      <w:pPr>
        <w:spacing w:line="440" w:lineRule="exact"/>
        <w:ind w:firstLine="360" w:firstLineChars="150"/>
        <w:jc w:val="left"/>
        <w:rPr>
          <w:rFonts w:ascii="宋体" w:hAnsi="宋体" w:eastAsia="宋体" w:cs="宋体"/>
          <w:color w:val="auto"/>
          <w:sz w:val="24"/>
          <w:highlight w:val="none"/>
        </w:rPr>
      </w:pPr>
      <w:r>
        <w:rPr>
          <w:rFonts w:hint="eastAsia" w:ascii="宋体" w:hAnsi="宋体" w:eastAsia="宋体" w:cs="宋体"/>
          <w:color w:val="auto"/>
          <w:sz w:val="24"/>
          <w:highlight w:val="none"/>
        </w:rPr>
        <w:t>（3）本项目分为2个包，供应商可同时投报2个包，但每个供应商只能中1个包。若同一供应商在2个包均排名第一时，该供应商为其中工程造价较大B包排名第一的中标候选人；已被确定为排名第一的中标候选人，不再参与其他标段的排名。以此类推。</w:t>
      </w:r>
    </w:p>
    <w:p>
      <w:pPr>
        <w:spacing w:line="440" w:lineRule="exact"/>
        <w:ind w:firstLine="360" w:firstLineChars="150"/>
        <w:jc w:val="left"/>
        <w:rPr>
          <w:rFonts w:ascii="宋体" w:hAnsi="宋体" w:eastAsia="宋体" w:cs="宋体"/>
          <w:color w:val="auto"/>
          <w:kern w:val="0"/>
          <w:sz w:val="24"/>
          <w:highlight w:val="none"/>
        </w:rPr>
      </w:pPr>
      <w:r>
        <w:rPr>
          <w:rFonts w:hint="eastAsia" w:ascii="宋体" w:hAnsi="宋体" w:eastAsia="宋体" w:cs="宋体"/>
          <w:color w:val="auto"/>
          <w:sz w:val="24"/>
          <w:highlight w:val="none"/>
        </w:rPr>
        <w:t>6.3.5</w:t>
      </w:r>
      <w:r>
        <w:rPr>
          <w:rFonts w:hint="eastAsia" w:ascii="宋体" w:hAnsi="宋体" w:eastAsia="宋体" w:cs="宋体"/>
          <w:color w:val="auto"/>
          <w:kern w:val="0"/>
          <w:sz w:val="24"/>
          <w:highlight w:val="none"/>
        </w:rPr>
        <w:t>磋商小组完成评审后，应当提出书面评审报告。评审报告应当包括：</w:t>
      </w:r>
    </w:p>
    <w:p>
      <w:pPr>
        <w:spacing w:line="440" w:lineRule="exact"/>
        <w:ind w:firstLine="360" w:firstLineChars="150"/>
        <w:rPr>
          <w:rFonts w:ascii="宋体" w:hAnsi="宋体" w:eastAsia="宋体" w:cs="宋体"/>
          <w:color w:val="auto"/>
          <w:sz w:val="24"/>
          <w:highlight w:val="none"/>
        </w:rPr>
      </w:pPr>
      <w:r>
        <w:rPr>
          <w:rFonts w:hint="eastAsia" w:ascii="宋体" w:hAnsi="宋体" w:eastAsia="宋体" w:cs="宋体"/>
          <w:color w:val="auto"/>
          <w:sz w:val="24"/>
          <w:highlight w:val="none"/>
        </w:rPr>
        <w:t>（1）供应商参加采购活动的具体方式和相关情况；</w:t>
      </w:r>
    </w:p>
    <w:p>
      <w:pPr>
        <w:spacing w:line="440" w:lineRule="exact"/>
        <w:ind w:firstLine="360" w:firstLineChars="150"/>
        <w:rPr>
          <w:rFonts w:ascii="宋体" w:hAnsi="宋体" w:eastAsia="宋体" w:cs="宋体"/>
          <w:color w:val="auto"/>
          <w:sz w:val="24"/>
          <w:highlight w:val="none"/>
        </w:rPr>
      </w:pPr>
      <w:r>
        <w:rPr>
          <w:rFonts w:hint="eastAsia" w:ascii="宋体" w:hAnsi="宋体" w:eastAsia="宋体" w:cs="宋体"/>
          <w:color w:val="auto"/>
          <w:sz w:val="24"/>
          <w:highlight w:val="none"/>
        </w:rPr>
        <w:t>（2）响应文件开启日期和地点；</w:t>
      </w:r>
    </w:p>
    <w:p>
      <w:pPr>
        <w:spacing w:line="440" w:lineRule="exact"/>
        <w:ind w:firstLine="360" w:firstLineChars="150"/>
        <w:rPr>
          <w:rFonts w:ascii="宋体" w:hAnsi="宋体" w:eastAsia="宋体" w:cs="宋体"/>
          <w:color w:val="auto"/>
          <w:sz w:val="24"/>
          <w:highlight w:val="none"/>
        </w:rPr>
      </w:pPr>
      <w:r>
        <w:rPr>
          <w:rFonts w:hint="eastAsia" w:ascii="宋体" w:hAnsi="宋体" w:eastAsia="宋体" w:cs="宋体"/>
          <w:color w:val="auto"/>
          <w:sz w:val="24"/>
          <w:highlight w:val="none"/>
        </w:rPr>
        <w:t>（3）获取磋商文件的供应商名单和磋商小组成员名单；</w:t>
      </w:r>
    </w:p>
    <w:p>
      <w:pPr>
        <w:spacing w:line="440" w:lineRule="exact"/>
        <w:ind w:firstLine="360" w:firstLineChars="150"/>
        <w:rPr>
          <w:rFonts w:ascii="宋体" w:hAnsi="宋体" w:eastAsia="宋体" w:cs="宋体"/>
          <w:color w:val="auto"/>
          <w:sz w:val="24"/>
          <w:highlight w:val="none"/>
        </w:rPr>
      </w:pPr>
      <w:r>
        <w:rPr>
          <w:rFonts w:hint="eastAsia" w:ascii="宋体" w:hAnsi="宋体" w:eastAsia="宋体" w:cs="宋体"/>
          <w:color w:val="auto"/>
          <w:sz w:val="24"/>
          <w:highlight w:val="none"/>
        </w:rPr>
        <w:t>（4）评审情况记录和说明，包括对供应商的资格审查情况、供应商响应文件评审情况、磋商情况、报价情况等；</w:t>
      </w:r>
    </w:p>
    <w:p>
      <w:pPr>
        <w:spacing w:line="440" w:lineRule="exact"/>
        <w:ind w:firstLine="360" w:firstLineChars="150"/>
        <w:rPr>
          <w:rFonts w:ascii="宋体" w:hAnsi="宋体" w:eastAsia="宋体" w:cs="宋体"/>
          <w:color w:val="auto"/>
          <w:sz w:val="24"/>
          <w:highlight w:val="none"/>
        </w:rPr>
      </w:pPr>
      <w:r>
        <w:rPr>
          <w:rFonts w:hint="eastAsia" w:ascii="宋体" w:hAnsi="宋体" w:eastAsia="宋体" w:cs="宋体"/>
          <w:color w:val="auto"/>
          <w:sz w:val="24"/>
          <w:highlight w:val="none"/>
        </w:rPr>
        <w:t>（5）提出的成交候选供应商的排序名单及理由。</w:t>
      </w:r>
    </w:p>
    <w:p>
      <w:pPr>
        <w:pStyle w:val="11"/>
        <w:spacing w:line="440" w:lineRule="exact"/>
        <w:ind w:left="0" w:leftChars="0"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sz w:val="24"/>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r>
        <w:rPr>
          <w:rFonts w:hint="eastAsia" w:ascii="宋体" w:hAnsi="宋体" w:eastAsia="宋体" w:cs="宋体"/>
          <w:snapToGrid w:val="0"/>
          <w:color w:val="auto"/>
          <w:kern w:val="0"/>
          <w:sz w:val="24"/>
          <w:highlight w:val="none"/>
        </w:rPr>
        <w:t>磋商小组向采购人提交书面评审报告后，磋商小组即告解散。评审过程中使用的文件、表格以及其它资料应当立即交采购代理机构</w:t>
      </w:r>
      <w:r>
        <w:rPr>
          <w:rFonts w:hint="eastAsia" w:ascii="宋体" w:hAnsi="宋体" w:eastAsia="宋体" w:cs="宋体"/>
          <w:color w:val="auto"/>
          <w:kern w:val="0"/>
          <w:sz w:val="24"/>
          <w:highlight w:val="none"/>
        </w:rPr>
        <w:t>。</w:t>
      </w:r>
    </w:p>
    <w:p>
      <w:pPr>
        <w:pStyle w:val="9"/>
        <w:spacing w:after="0" w:line="440" w:lineRule="exact"/>
        <w:ind w:firstLine="482" w:firstLineChars="200"/>
        <w:textAlignment w:val="baseline"/>
        <w:rPr>
          <w:rFonts w:eastAsia="宋体" w:cs="宋体"/>
          <w:b/>
          <w:color w:val="auto"/>
          <w:sz w:val="24"/>
          <w:highlight w:val="none"/>
        </w:rPr>
      </w:pPr>
      <w:r>
        <w:rPr>
          <w:rFonts w:hint="eastAsia" w:eastAsia="宋体" w:cs="宋体"/>
          <w:b/>
          <w:color w:val="auto"/>
          <w:sz w:val="24"/>
          <w:highlight w:val="none"/>
        </w:rPr>
        <w:t>6.4特殊情况下的评审方法</w:t>
      </w:r>
    </w:p>
    <w:p>
      <w:pPr>
        <w:spacing w:line="440" w:lineRule="exact"/>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6.4.1关于磋商活动暂停</w:t>
      </w:r>
    </w:p>
    <w:p>
      <w:pPr>
        <w:spacing w:line="440" w:lineRule="exact"/>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磋商小组应当执行连续磋商的原则，按磋商办法中规定的程序、内容、方法、标准完成全部磋商工作。只有发生不可抗力导致磋商工作无法继续时，磋商活动方可暂停。</w:t>
      </w:r>
    </w:p>
    <w:p>
      <w:pPr>
        <w:spacing w:line="440" w:lineRule="exact"/>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发生磋商暂停情况时，磋商小组应当封存全部响应文件和磋商记录，待不可抗力的影响结束且具备继续磋商的条件时，由原磋商小组继续磋商。</w:t>
      </w:r>
    </w:p>
    <w:p>
      <w:pPr>
        <w:spacing w:line="440" w:lineRule="exact"/>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6.4.2关于磋商中途更换评委</w:t>
      </w:r>
    </w:p>
    <w:p>
      <w:pPr>
        <w:spacing w:line="440" w:lineRule="exact"/>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除非发生下列情况之一，磋商小组成员不得在磋商中途更换：</w:t>
      </w:r>
    </w:p>
    <w:p>
      <w:pPr>
        <w:spacing w:line="440" w:lineRule="exact"/>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（1）因不可抗拒的客观原因，不能到场或需在磋商中途退出磋商活动。</w:t>
      </w:r>
    </w:p>
    <w:p>
      <w:pPr>
        <w:spacing w:line="440" w:lineRule="exact"/>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（2）根据法律法规规定，某个或某几个磋商小组成员需要回避。</w:t>
      </w:r>
    </w:p>
    <w:p>
      <w:pPr>
        <w:spacing w:line="440" w:lineRule="exact"/>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退出磋商的磋商小组成员，其已完成的磋商行为无效。由采购人根据本磋商文件规定的磋商小组成员产生方式另行确定替代者进行磋商。</w:t>
      </w:r>
    </w:p>
    <w:p>
      <w:pPr>
        <w:spacing w:line="440" w:lineRule="exact"/>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6.4.3关于记名投票表决评审结论</w:t>
      </w:r>
    </w:p>
    <w:p>
      <w:pPr>
        <w:spacing w:line="440" w:lineRule="exact"/>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在任何磋商环节中，需磋商小组就某项定性的评审结论做出表决的，由磋商小组全体成员按照少数服从多数的原则，以记名投票方式表决。</w:t>
      </w:r>
    </w:p>
    <w:p>
      <w:pPr>
        <w:pStyle w:val="9"/>
        <w:spacing w:after="0" w:line="440" w:lineRule="exact"/>
        <w:ind w:firstLine="480" w:firstLineChars="200"/>
        <w:textAlignment w:val="baseline"/>
        <w:rPr>
          <w:rFonts w:eastAsia="宋体" w:cs="宋体"/>
          <w:color w:val="auto"/>
          <w:sz w:val="24"/>
          <w:highlight w:val="none"/>
        </w:rPr>
      </w:pPr>
      <w:r>
        <w:rPr>
          <w:rFonts w:hint="eastAsia" w:eastAsia="宋体" w:cs="宋体"/>
          <w:color w:val="auto"/>
          <w:sz w:val="24"/>
          <w:highlight w:val="none"/>
        </w:rPr>
        <w:t>6.4.4如出现供应商达不到法定数量、串通报价、全部不符合磋商文件要求以及供应商互相诋毁，导致磋商小组无法评审时，磋商小组有权否决所有报价停止评审。采购人依法重新组织采购。</w:t>
      </w:r>
    </w:p>
    <w:p>
      <w:pPr>
        <w:pStyle w:val="9"/>
        <w:spacing w:after="0" w:line="440" w:lineRule="exact"/>
        <w:ind w:firstLine="482" w:firstLineChars="200"/>
        <w:textAlignment w:val="baseline"/>
        <w:rPr>
          <w:rFonts w:eastAsia="宋体" w:cs="宋体"/>
          <w:b/>
          <w:color w:val="auto"/>
          <w:sz w:val="24"/>
          <w:highlight w:val="none"/>
        </w:rPr>
      </w:pPr>
      <w:r>
        <w:rPr>
          <w:rFonts w:hint="eastAsia" w:eastAsia="宋体" w:cs="宋体"/>
          <w:b/>
          <w:color w:val="auto"/>
          <w:sz w:val="24"/>
          <w:highlight w:val="none"/>
        </w:rPr>
        <w:t>6.5无效报价</w:t>
      </w:r>
    </w:p>
    <w:p>
      <w:pPr>
        <w:pStyle w:val="9"/>
        <w:spacing w:after="0" w:line="440" w:lineRule="exact"/>
        <w:ind w:firstLine="482"/>
        <w:textAlignment w:val="baseline"/>
        <w:rPr>
          <w:rFonts w:eastAsia="宋体" w:cs="宋体"/>
          <w:color w:val="auto"/>
          <w:sz w:val="24"/>
          <w:highlight w:val="none"/>
        </w:rPr>
      </w:pPr>
      <w:r>
        <w:rPr>
          <w:rFonts w:hint="eastAsia" w:eastAsia="宋体" w:cs="宋体"/>
          <w:color w:val="auto"/>
          <w:sz w:val="24"/>
          <w:highlight w:val="none"/>
        </w:rPr>
        <w:t>6.5.1有下列情形之一的，应当按照无效报价处理：</w:t>
      </w:r>
    </w:p>
    <w:p>
      <w:pPr>
        <w:pStyle w:val="9"/>
        <w:spacing w:after="0" w:line="440" w:lineRule="exact"/>
        <w:ind w:firstLine="482"/>
        <w:textAlignment w:val="baseline"/>
        <w:rPr>
          <w:rFonts w:eastAsia="宋体" w:cs="宋体"/>
          <w:color w:val="auto"/>
          <w:sz w:val="24"/>
          <w:highlight w:val="none"/>
        </w:rPr>
      </w:pPr>
      <w:r>
        <w:rPr>
          <w:rFonts w:hint="eastAsia" w:eastAsia="宋体" w:cs="宋体"/>
          <w:color w:val="auto"/>
          <w:sz w:val="24"/>
          <w:highlight w:val="none"/>
        </w:rPr>
        <w:t>(一)在规定的递交响应文件截止时间之后递交的；</w:t>
      </w:r>
    </w:p>
    <w:p>
      <w:pPr>
        <w:pStyle w:val="9"/>
        <w:spacing w:after="0" w:line="440" w:lineRule="exact"/>
        <w:ind w:firstLine="482"/>
        <w:textAlignment w:val="baseline"/>
        <w:rPr>
          <w:rFonts w:eastAsia="宋体" w:cs="宋体"/>
          <w:color w:val="auto"/>
          <w:sz w:val="24"/>
          <w:highlight w:val="none"/>
        </w:rPr>
      </w:pPr>
      <w:r>
        <w:rPr>
          <w:rFonts w:hint="eastAsia" w:eastAsia="宋体" w:cs="宋体"/>
          <w:color w:val="auto"/>
          <w:sz w:val="24"/>
          <w:highlight w:val="none"/>
        </w:rPr>
        <w:t>(二)未按磋商文件规定要求密封、签署、盖章的；</w:t>
      </w:r>
    </w:p>
    <w:p>
      <w:pPr>
        <w:pStyle w:val="9"/>
        <w:spacing w:after="0" w:line="440" w:lineRule="exact"/>
        <w:ind w:firstLine="482"/>
        <w:textAlignment w:val="baseline"/>
        <w:rPr>
          <w:rFonts w:eastAsia="宋体" w:cs="宋体"/>
          <w:color w:val="auto"/>
          <w:sz w:val="24"/>
          <w:highlight w:val="none"/>
        </w:rPr>
      </w:pPr>
      <w:r>
        <w:rPr>
          <w:rFonts w:hint="eastAsia" w:eastAsia="宋体" w:cs="宋体"/>
          <w:color w:val="auto"/>
          <w:sz w:val="24"/>
          <w:highlight w:val="none"/>
        </w:rPr>
        <w:t>(三)不具备磋商文件中规定的资格要求的；</w:t>
      </w:r>
    </w:p>
    <w:p>
      <w:pPr>
        <w:pStyle w:val="9"/>
        <w:spacing w:after="0" w:line="440" w:lineRule="exact"/>
        <w:ind w:firstLine="482"/>
        <w:textAlignment w:val="baseline"/>
        <w:rPr>
          <w:rFonts w:eastAsia="宋体" w:cs="宋体"/>
          <w:color w:val="auto"/>
          <w:sz w:val="24"/>
          <w:highlight w:val="none"/>
        </w:rPr>
      </w:pPr>
      <w:r>
        <w:rPr>
          <w:rFonts w:hint="eastAsia" w:eastAsia="宋体" w:cs="宋体"/>
          <w:color w:val="auto"/>
          <w:sz w:val="24"/>
          <w:highlight w:val="none"/>
        </w:rPr>
        <w:t>(四)未经财政部门核准，提供进口产品的（无）；</w:t>
      </w:r>
    </w:p>
    <w:p>
      <w:pPr>
        <w:pStyle w:val="9"/>
        <w:spacing w:after="0" w:line="440" w:lineRule="exact"/>
        <w:ind w:firstLine="482"/>
        <w:textAlignment w:val="baseline"/>
        <w:rPr>
          <w:rFonts w:eastAsia="宋体" w:cs="宋体"/>
          <w:color w:val="auto"/>
          <w:sz w:val="24"/>
          <w:highlight w:val="none"/>
        </w:rPr>
      </w:pPr>
      <w:r>
        <w:rPr>
          <w:rFonts w:hint="eastAsia" w:eastAsia="宋体" w:cs="宋体"/>
          <w:color w:val="auto"/>
          <w:sz w:val="24"/>
          <w:highlight w:val="none"/>
        </w:rPr>
        <w:t>(五)报价超过采购预算的；</w:t>
      </w:r>
    </w:p>
    <w:p>
      <w:pPr>
        <w:pStyle w:val="9"/>
        <w:spacing w:after="0" w:line="440" w:lineRule="exact"/>
        <w:ind w:firstLine="482"/>
        <w:textAlignment w:val="baseline"/>
        <w:rPr>
          <w:rFonts w:eastAsia="宋体" w:cs="宋体"/>
          <w:color w:val="auto"/>
          <w:sz w:val="24"/>
          <w:highlight w:val="none"/>
        </w:rPr>
      </w:pPr>
      <w:r>
        <w:rPr>
          <w:rFonts w:hint="eastAsia" w:eastAsia="宋体" w:cs="宋体"/>
          <w:color w:val="auto"/>
          <w:sz w:val="24"/>
          <w:highlight w:val="none"/>
        </w:rPr>
        <w:t>(六)未全部响应磋商文件规定的实质性要求的；</w:t>
      </w:r>
    </w:p>
    <w:p>
      <w:pPr>
        <w:pStyle w:val="9"/>
        <w:spacing w:after="0" w:line="440" w:lineRule="exact"/>
        <w:ind w:firstLine="482"/>
        <w:textAlignment w:val="baseline"/>
        <w:rPr>
          <w:rFonts w:eastAsia="宋体" w:cs="宋体"/>
          <w:color w:val="auto"/>
          <w:sz w:val="24"/>
          <w:highlight w:val="none"/>
        </w:rPr>
      </w:pPr>
      <w:r>
        <w:rPr>
          <w:rFonts w:hint="eastAsia" w:eastAsia="宋体" w:cs="宋体"/>
          <w:color w:val="auto"/>
          <w:sz w:val="24"/>
          <w:highlight w:val="none"/>
        </w:rPr>
        <w:t>(七)法定代表人或授权代表不参加报价仪式；</w:t>
      </w:r>
    </w:p>
    <w:p>
      <w:pPr>
        <w:pStyle w:val="9"/>
        <w:spacing w:after="0" w:line="440" w:lineRule="exact"/>
        <w:ind w:firstLine="482"/>
        <w:textAlignment w:val="baseline"/>
        <w:rPr>
          <w:rFonts w:eastAsia="宋体" w:cs="宋体"/>
          <w:color w:val="auto"/>
          <w:sz w:val="24"/>
          <w:highlight w:val="none"/>
        </w:rPr>
      </w:pPr>
      <w:r>
        <w:rPr>
          <w:rFonts w:hint="eastAsia" w:eastAsia="宋体" w:cs="宋体"/>
          <w:color w:val="auto"/>
          <w:sz w:val="24"/>
          <w:highlight w:val="none"/>
        </w:rPr>
        <w:t>(八)不符合法律、法规规定的其他情形。</w:t>
      </w:r>
    </w:p>
    <w:p>
      <w:pPr>
        <w:pStyle w:val="9"/>
        <w:spacing w:after="0" w:line="440" w:lineRule="exact"/>
        <w:ind w:firstLine="482"/>
        <w:textAlignment w:val="baseline"/>
        <w:rPr>
          <w:rFonts w:eastAsia="宋体" w:cs="宋体"/>
          <w:color w:val="auto"/>
          <w:sz w:val="24"/>
          <w:highlight w:val="none"/>
        </w:rPr>
      </w:pPr>
      <w:r>
        <w:rPr>
          <w:rFonts w:hint="eastAsia" w:eastAsia="宋体" w:cs="宋体"/>
          <w:color w:val="auto"/>
          <w:sz w:val="24"/>
          <w:highlight w:val="none"/>
        </w:rPr>
        <w:t>6.5.2供应商有下列情形之一，其报价将被视为无效报价，构成犯罪的，依法追究刑事责任：</w:t>
      </w:r>
    </w:p>
    <w:p>
      <w:pPr>
        <w:pStyle w:val="9"/>
        <w:spacing w:after="0" w:line="440" w:lineRule="exact"/>
        <w:ind w:firstLine="482"/>
        <w:textAlignment w:val="baseline"/>
        <w:rPr>
          <w:rFonts w:eastAsia="宋体" w:cs="宋体"/>
          <w:color w:val="auto"/>
          <w:sz w:val="24"/>
          <w:highlight w:val="none"/>
        </w:rPr>
      </w:pPr>
      <w:r>
        <w:rPr>
          <w:rFonts w:hint="eastAsia" w:eastAsia="宋体" w:cs="宋体"/>
          <w:color w:val="auto"/>
          <w:sz w:val="24"/>
          <w:highlight w:val="none"/>
        </w:rPr>
        <w:t xml:space="preserve"> (一)在采购活动中有恶意串通行为的；</w:t>
      </w:r>
    </w:p>
    <w:p>
      <w:pPr>
        <w:pStyle w:val="9"/>
        <w:spacing w:after="0" w:line="440" w:lineRule="exact"/>
        <w:ind w:firstLine="482"/>
        <w:textAlignment w:val="baseline"/>
        <w:rPr>
          <w:rFonts w:eastAsia="宋体" w:cs="宋体"/>
          <w:color w:val="auto"/>
          <w:sz w:val="24"/>
          <w:highlight w:val="none"/>
        </w:rPr>
      </w:pPr>
      <w:r>
        <w:rPr>
          <w:rFonts w:hint="eastAsia" w:eastAsia="宋体" w:cs="宋体"/>
          <w:color w:val="auto"/>
          <w:sz w:val="24"/>
          <w:highlight w:val="none"/>
        </w:rPr>
        <w:t xml:space="preserve"> (二)成交后无正当理由不在磋商文件规定时间内与采购人签订合同的；</w:t>
      </w:r>
    </w:p>
    <w:p>
      <w:pPr>
        <w:pStyle w:val="9"/>
        <w:spacing w:after="0" w:line="440" w:lineRule="exact"/>
        <w:ind w:firstLine="482"/>
        <w:textAlignment w:val="baseline"/>
        <w:rPr>
          <w:rFonts w:eastAsia="宋体" w:cs="宋体"/>
          <w:color w:val="auto"/>
          <w:sz w:val="24"/>
          <w:highlight w:val="none"/>
        </w:rPr>
      </w:pPr>
      <w:r>
        <w:rPr>
          <w:rFonts w:hint="eastAsia" w:eastAsia="宋体" w:cs="宋体"/>
          <w:color w:val="auto"/>
          <w:sz w:val="24"/>
          <w:highlight w:val="none"/>
        </w:rPr>
        <w:t xml:space="preserve"> (三)捏造事实进行虚假投诉的；</w:t>
      </w:r>
    </w:p>
    <w:p>
      <w:pPr>
        <w:pStyle w:val="9"/>
        <w:spacing w:after="0" w:line="440" w:lineRule="exact"/>
        <w:ind w:firstLine="482"/>
        <w:textAlignment w:val="baseline"/>
        <w:rPr>
          <w:rFonts w:eastAsia="宋体" w:cs="宋体"/>
          <w:color w:val="auto"/>
          <w:sz w:val="24"/>
          <w:highlight w:val="none"/>
        </w:rPr>
      </w:pPr>
      <w:r>
        <w:rPr>
          <w:rFonts w:hint="eastAsia" w:eastAsia="宋体" w:cs="宋体"/>
          <w:color w:val="auto"/>
          <w:sz w:val="24"/>
          <w:highlight w:val="none"/>
        </w:rPr>
        <w:t xml:space="preserve"> (四)拒绝配合财政部门处理投诉、举报事项的；</w:t>
      </w:r>
    </w:p>
    <w:p>
      <w:pPr>
        <w:pStyle w:val="9"/>
        <w:spacing w:after="0" w:line="440" w:lineRule="exact"/>
        <w:ind w:firstLine="482"/>
        <w:textAlignment w:val="baseline"/>
        <w:rPr>
          <w:rFonts w:eastAsia="宋体" w:cs="宋体"/>
          <w:color w:val="auto"/>
          <w:sz w:val="24"/>
          <w:highlight w:val="none"/>
        </w:rPr>
      </w:pPr>
      <w:r>
        <w:rPr>
          <w:rFonts w:hint="eastAsia" w:eastAsia="宋体" w:cs="宋体"/>
          <w:color w:val="auto"/>
          <w:sz w:val="24"/>
          <w:highlight w:val="none"/>
        </w:rPr>
        <w:t>（五）拒绝履行合同义务的；</w:t>
      </w:r>
    </w:p>
    <w:p>
      <w:pPr>
        <w:pStyle w:val="9"/>
        <w:spacing w:after="0" w:line="440" w:lineRule="exact"/>
        <w:ind w:firstLine="482"/>
        <w:textAlignment w:val="baseline"/>
        <w:rPr>
          <w:rFonts w:eastAsia="宋体" w:cs="宋体"/>
          <w:color w:val="auto"/>
          <w:sz w:val="24"/>
          <w:highlight w:val="none"/>
        </w:rPr>
      </w:pPr>
      <w:r>
        <w:rPr>
          <w:rFonts w:hint="eastAsia" w:eastAsia="宋体" w:cs="宋体"/>
          <w:color w:val="auto"/>
          <w:sz w:val="24"/>
          <w:highlight w:val="none"/>
        </w:rPr>
        <w:t>（六）未按照磋商文件确定的事项签订政府采购合同，或者与采购人另行订立背离合同实质性内容的协议的；</w:t>
      </w:r>
    </w:p>
    <w:p>
      <w:pPr>
        <w:pStyle w:val="9"/>
        <w:spacing w:after="0" w:line="440" w:lineRule="exact"/>
        <w:ind w:firstLine="482"/>
        <w:textAlignment w:val="baseline"/>
        <w:rPr>
          <w:rFonts w:eastAsia="宋体" w:cs="宋体"/>
          <w:color w:val="auto"/>
          <w:sz w:val="24"/>
          <w:highlight w:val="none"/>
        </w:rPr>
      </w:pPr>
      <w:r>
        <w:rPr>
          <w:rFonts w:hint="eastAsia" w:eastAsia="宋体" w:cs="宋体"/>
          <w:color w:val="auto"/>
          <w:sz w:val="24"/>
          <w:highlight w:val="none"/>
        </w:rPr>
        <w:t xml:space="preserve"> (七)违反法律、法规规定的其他行为。</w:t>
      </w:r>
    </w:p>
    <w:p>
      <w:pPr>
        <w:pStyle w:val="9"/>
        <w:spacing w:after="0" w:line="440" w:lineRule="exact"/>
        <w:ind w:firstLine="482"/>
        <w:textAlignment w:val="baseline"/>
        <w:rPr>
          <w:rFonts w:eastAsia="宋体" w:cs="宋体"/>
          <w:color w:val="auto"/>
          <w:sz w:val="24"/>
          <w:highlight w:val="none"/>
        </w:rPr>
      </w:pPr>
      <w:r>
        <w:rPr>
          <w:rFonts w:hint="eastAsia" w:eastAsia="宋体" w:cs="宋体"/>
          <w:color w:val="auto"/>
          <w:sz w:val="24"/>
          <w:highlight w:val="none"/>
        </w:rPr>
        <w:t>6.5.3有下列情形之一的，视为串通报价，作废标处理：</w:t>
      </w:r>
    </w:p>
    <w:p>
      <w:pPr>
        <w:pStyle w:val="9"/>
        <w:spacing w:after="0" w:line="440" w:lineRule="exact"/>
        <w:ind w:firstLine="482"/>
        <w:textAlignment w:val="baseline"/>
        <w:rPr>
          <w:rFonts w:eastAsia="宋体" w:cs="宋体"/>
          <w:color w:val="auto"/>
          <w:sz w:val="24"/>
          <w:highlight w:val="none"/>
        </w:rPr>
      </w:pPr>
      <w:r>
        <w:rPr>
          <w:rFonts w:hint="eastAsia" w:eastAsia="宋体" w:cs="宋体"/>
          <w:color w:val="auto"/>
          <w:sz w:val="24"/>
          <w:highlight w:val="none"/>
        </w:rPr>
        <w:t>①不同供应商的响应文件由同一单位或者个人编制；</w:t>
      </w:r>
    </w:p>
    <w:p>
      <w:pPr>
        <w:pStyle w:val="9"/>
        <w:spacing w:after="0" w:line="440" w:lineRule="exact"/>
        <w:ind w:firstLine="482"/>
        <w:textAlignment w:val="baseline"/>
        <w:rPr>
          <w:rFonts w:eastAsia="宋体" w:cs="宋体"/>
          <w:color w:val="auto"/>
          <w:sz w:val="24"/>
          <w:highlight w:val="none"/>
        </w:rPr>
      </w:pPr>
      <w:r>
        <w:rPr>
          <w:rFonts w:hint="eastAsia" w:eastAsia="宋体" w:cs="宋体"/>
          <w:color w:val="auto"/>
          <w:sz w:val="24"/>
          <w:highlight w:val="none"/>
        </w:rPr>
        <w:t>②不同供应商委托同一单位或者个人办理报价事宜；</w:t>
      </w:r>
    </w:p>
    <w:p>
      <w:pPr>
        <w:pStyle w:val="9"/>
        <w:spacing w:after="0" w:line="440" w:lineRule="exact"/>
        <w:ind w:firstLine="482"/>
        <w:textAlignment w:val="baseline"/>
        <w:rPr>
          <w:rFonts w:eastAsia="宋体" w:cs="宋体"/>
          <w:color w:val="auto"/>
          <w:sz w:val="24"/>
          <w:highlight w:val="none"/>
        </w:rPr>
      </w:pPr>
      <w:r>
        <w:rPr>
          <w:rFonts w:hint="eastAsia" w:eastAsia="宋体" w:cs="宋体"/>
          <w:color w:val="auto"/>
          <w:sz w:val="24"/>
          <w:highlight w:val="none"/>
        </w:rPr>
        <w:t>③不同供应商的响应文件载明的项目管理成员为同一人；</w:t>
      </w:r>
    </w:p>
    <w:p>
      <w:pPr>
        <w:pStyle w:val="9"/>
        <w:spacing w:after="0" w:line="440" w:lineRule="exact"/>
        <w:ind w:firstLine="482"/>
        <w:textAlignment w:val="baseline"/>
        <w:rPr>
          <w:rFonts w:eastAsia="宋体" w:cs="宋体"/>
          <w:color w:val="auto"/>
          <w:sz w:val="24"/>
          <w:highlight w:val="none"/>
        </w:rPr>
      </w:pPr>
      <w:r>
        <w:rPr>
          <w:rFonts w:hint="eastAsia" w:eastAsia="宋体" w:cs="宋体"/>
          <w:color w:val="auto"/>
          <w:sz w:val="24"/>
          <w:highlight w:val="none"/>
        </w:rPr>
        <w:t>④不同供应商的响应文件异常一致或者报价呈规律性差异；</w:t>
      </w:r>
    </w:p>
    <w:p>
      <w:pPr>
        <w:pStyle w:val="9"/>
        <w:spacing w:after="0" w:line="440" w:lineRule="exact"/>
        <w:ind w:firstLine="482"/>
        <w:textAlignment w:val="baseline"/>
        <w:rPr>
          <w:rFonts w:eastAsia="宋体" w:cs="宋体"/>
          <w:color w:val="auto"/>
          <w:sz w:val="24"/>
          <w:highlight w:val="none"/>
        </w:rPr>
      </w:pPr>
      <w:r>
        <w:rPr>
          <w:rFonts w:hint="eastAsia" w:eastAsia="宋体" w:cs="宋体"/>
          <w:color w:val="auto"/>
          <w:sz w:val="24"/>
          <w:highlight w:val="none"/>
        </w:rPr>
        <w:t>⑤不同供应商的响应文件相互混装；</w:t>
      </w:r>
    </w:p>
    <w:p>
      <w:pPr>
        <w:pStyle w:val="9"/>
        <w:spacing w:after="0" w:line="440" w:lineRule="exact"/>
        <w:ind w:firstLine="482"/>
        <w:textAlignment w:val="baseline"/>
        <w:rPr>
          <w:rFonts w:eastAsia="宋体" w:cs="宋体"/>
          <w:color w:val="auto"/>
          <w:sz w:val="24"/>
          <w:highlight w:val="none"/>
        </w:rPr>
      </w:pPr>
      <w:r>
        <w:rPr>
          <w:rFonts w:hint="eastAsia" w:eastAsia="宋体" w:cs="宋体"/>
          <w:color w:val="auto"/>
          <w:sz w:val="24"/>
          <w:highlight w:val="none"/>
        </w:rPr>
        <w:t>⑥法律法规文件规定的其他情形。</w:t>
      </w:r>
    </w:p>
    <w:p>
      <w:pPr>
        <w:pStyle w:val="9"/>
        <w:spacing w:after="0" w:line="440" w:lineRule="exact"/>
        <w:ind w:firstLine="482" w:firstLineChars="200"/>
        <w:textAlignment w:val="baseline"/>
        <w:rPr>
          <w:rFonts w:eastAsia="宋体" w:cs="宋体"/>
          <w:b/>
          <w:color w:val="auto"/>
          <w:sz w:val="24"/>
          <w:highlight w:val="none"/>
        </w:rPr>
      </w:pPr>
      <w:r>
        <w:rPr>
          <w:rFonts w:hint="eastAsia" w:eastAsia="宋体" w:cs="宋体"/>
          <w:b/>
          <w:color w:val="auto"/>
          <w:sz w:val="24"/>
          <w:highlight w:val="none"/>
        </w:rPr>
        <w:t>6.6废除本次采购项目</w:t>
      </w:r>
    </w:p>
    <w:p>
      <w:pPr>
        <w:pStyle w:val="9"/>
        <w:spacing w:after="0" w:line="440" w:lineRule="exact"/>
        <w:ind w:firstLine="480" w:firstLineChars="200"/>
        <w:textAlignment w:val="baseline"/>
        <w:rPr>
          <w:rFonts w:eastAsia="宋体" w:cs="宋体"/>
          <w:color w:val="auto"/>
          <w:sz w:val="24"/>
          <w:highlight w:val="none"/>
        </w:rPr>
      </w:pPr>
      <w:r>
        <w:rPr>
          <w:rFonts w:hint="eastAsia" w:eastAsia="宋体" w:cs="宋体"/>
          <w:color w:val="auto"/>
          <w:sz w:val="24"/>
          <w:highlight w:val="none"/>
        </w:rPr>
        <w:t>6.6.1采购项目出现下列情形之一的，采购人将予以废除本次采购项目：</w:t>
      </w:r>
    </w:p>
    <w:p>
      <w:pPr>
        <w:pStyle w:val="9"/>
        <w:spacing w:after="0" w:line="440" w:lineRule="exact"/>
        <w:ind w:firstLine="480" w:firstLineChars="200"/>
        <w:textAlignment w:val="baseline"/>
        <w:rPr>
          <w:rFonts w:eastAsia="宋体" w:cs="宋体"/>
          <w:color w:val="auto"/>
          <w:sz w:val="24"/>
          <w:highlight w:val="none"/>
        </w:rPr>
      </w:pPr>
      <w:r>
        <w:rPr>
          <w:rFonts w:hint="eastAsia" w:eastAsia="宋体" w:cs="宋体"/>
          <w:color w:val="auto"/>
          <w:sz w:val="24"/>
          <w:highlight w:val="none"/>
        </w:rPr>
        <w:t>（1）出现影响采购公正的违法、违规行为的；</w:t>
      </w:r>
    </w:p>
    <w:p>
      <w:pPr>
        <w:pStyle w:val="9"/>
        <w:spacing w:after="0" w:line="440" w:lineRule="exact"/>
        <w:ind w:firstLine="480" w:firstLineChars="200"/>
        <w:textAlignment w:val="baseline"/>
        <w:rPr>
          <w:rFonts w:eastAsia="宋体" w:cs="宋体"/>
          <w:color w:val="auto"/>
          <w:sz w:val="24"/>
          <w:highlight w:val="none"/>
        </w:rPr>
      </w:pPr>
      <w:r>
        <w:rPr>
          <w:rFonts w:hint="eastAsia" w:eastAsia="宋体" w:cs="宋体"/>
          <w:color w:val="auto"/>
          <w:sz w:val="24"/>
          <w:highlight w:val="none"/>
        </w:rPr>
        <w:t>（2）供应商的最终报价均超出控制价范围的；</w:t>
      </w:r>
    </w:p>
    <w:p>
      <w:pPr>
        <w:pStyle w:val="9"/>
        <w:spacing w:after="0" w:line="440" w:lineRule="exact"/>
        <w:ind w:firstLine="480" w:firstLineChars="200"/>
        <w:textAlignment w:val="baseline"/>
        <w:rPr>
          <w:rFonts w:eastAsia="宋体" w:cs="宋体"/>
          <w:color w:val="auto"/>
          <w:sz w:val="24"/>
          <w:highlight w:val="none"/>
        </w:rPr>
      </w:pPr>
      <w:r>
        <w:rPr>
          <w:rFonts w:hint="eastAsia" w:eastAsia="宋体" w:cs="宋体"/>
          <w:color w:val="auto"/>
          <w:sz w:val="24"/>
          <w:highlight w:val="none"/>
        </w:rPr>
        <w:t>（3）因重大变故，采购任务取消的。</w:t>
      </w:r>
    </w:p>
    <w:p>
      <w:pPr>
        <w:pStyle w:val="9"/>
        <w:spacing w:after="0" w:line="440" w:lineRule="exact"/>
        <w:ind w:firstLine="480"/>
        <w:textAlignment w:val="baseline"/>
        <w:rPr>
          <w:rFonts w:eastAsia="宋体" w:cs="宋体"/>
          <w:color w:val="auto"/>
          <w:sz w:val="24"/>
          <w:highlight w:val="none"/>
        </w:rPr>
      </w:pPr>
      <w:r>
        <w:rPr>
          <w:rFonts w:hint="eastAsia" w:eastAsia="宋体" w:cs="宋体"/>
          <w:color w:val="auto"/>
          <w:sz w:val="24"/>
          <w:highlight w:val="none"/>
        </w:rPr>
        <w:t>6.6.2 废除本次采购项目后，采购人将把废除本次采购项目理由通知所有供应商。</w:t>
      </w:r>
    </w:p>
    <w:p>
      <w:pPr>
        <w:pStyle w:val="9"/>
        <w:spacing w:after="0" w:line="440" w:lineRule="exact"/>
        <w:ind w:firstLine="480"/>
        <w:textAlignment w:val="baseline"/>
        <w:rPr>
          <w:rFonts w:eastAsia="宋体" w:cs="宋体"/>
          <w:color w:val="auto"/>
          <w:sz w:val="24"/>
          <w:highlight w:val="none"/>
        </w:rPr>
      </w:pPr>
      <w:r>
        <w:rPr>
          <w:rFonts w:hint="eastAsia" w:eastAsia="宋体" w:cs="宋体"/>
          <w:color w:val="auto"/>
          <w:sz w:val="24"/>
          <w:highlight w:val="none"/>
        </w:rPr>
        <w:t>6.6.3出现下列情形之一的，采购人或者采购代理机构应当终止竞争性磋商采购活动，发布项目终止公告并说明原因，重新开展采购活动：</w:t>
      </w:r>
    </w:p>
    <w:p>
      <w:pPr>
        <w:pStyle w:val="9"/>
        <w:spacing w:after="0" w:line="440" w:lineRule="exact"/>
        <w:ind w:firstLine="480"/>
        <w:textAlignment w:val="baseline"/>
        <w:rPr>
          <w:rFonts w:eastAsia="宋体" w:cs="宋体"/>
          <w:color w:val="auto"/>
          <w:sz w:val="24"/>
          <w:highlight w:val="none"/>
        </w:rPr>
      </w:pPr>
      <w:r>
        <w:rPr>
          <w:rFonts w:hint="eastAsia" w:eastAsia="宋体" w:cs="宋体"/>
          <w:color w:val="auto"/>
          <w:sz w:val="24"/>
          <w:highlight w:val="none"/>
        </w:rPr>
        <w:t>（1）因情况变化，不再符合规定的竞争性磋商采购方式适用情形的；</w:t>
      </w:r>
    </w:p>
    <w:p>
      <w:pPr>
        <w:pStyle w:val="9"/>
        <w:spacing w:after="0" w:line="440" w:lineRule="exact"/>
        <w:ind w:firstLine="480"/>
        <w:textAlignment w:val="baseline"/>
        <w:rPr>
          <w:rFonts w:eastAsia="宋体" w:cs="宋体"/>
          <w:color w:val="auto"/>
          <w:sz w:val="24"/>
          <w:highlight w:val="none"/>
        </w:rPr>
      </w:pPr>
      <w:r>
        <w:rPr>
          <w:rFonts w:hint="eastAsia" w:eastAsia="宋体" w:cs="宋体"/>
          <w:color w:val="auto"/>
          <w:sz w:val="24"/>
          <w:highlight w:val="none"/>
        </w:rPr>
        <w:t>（2）出现影响采购公正的违法、违规行为的；</w:t>
      </w:r>
    </w:p>
    <w:p>
      <w:pPr>
        <w:pStyle w:val="9"/>
        <w:spacing w:after="0" w:line="440" w:lineRule="exact"/>
        <w:ind w:firstLine="480"/>
        <w:textAlignment w:val="baseline"/>
        <w:rPr>
          <w:rFonts w:eastAsia="宋体" w:cs="宋体"/>
          <w:color w:val="auto"/>
          <w:sz w:val="24"/>
          <w:highlight w:val="none"/>
        </w:rPr>
      </w:pPr>
      <w:r>
        <w:rPr>
          <w:rFonts w:hint="eastAsia" w:eastAsia="宋体" w:cs="宋体"/>
          <w:color w:val="auto"/>
          <w:sz w:val="24"/>
          <w:highlight w:val="none"/>
        </w:rPr>
        <w:t>（3）除《政府采购竞争性磋商采购方式管理暂行办法》第二十一条第三款规定的情形外，在采购过程中符合要求的供应商或者报价未超过采购预算的供应商不足3家的。</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7.成交、合同</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7.1确定成交供应商</w:t>
      </w:r>
    </w:p>
    <w:p>
      <w:pPr>
        <w:pStyle w:val="9"/>
        <w:spacing w:after="0" w:line="440" w:lineRule="exact"/>
        <w:ind w:firstLine="480" w:firstLineChars="200"/>
        <w:textAlignment w:val="baseline"/>
        <w:rPr>
          <w:rFonts w:eastAsia="宋体" w:cs="宋体"/>
          <w:color w:val="auto"/>
          <w:sz w:val="24"/>
          <w:highlight w:val="none"/>
        </w:rPr>
      </w:pPr>
      <w:r>
        <w:rPr>
          <w:rFonts w:hint="eastAsia" w:eastAsia="宋体" w:cs="宋体"/>
          <w:color w:val="auto"/>
          <w:sz w:val="24"/>
          <w:highlight w:val="none"/>
        </w:rPr>
        <w:t>磋商小组应当根据综合评分情况，按照评审得分由高到低顺序推荐3名成交候选供应商，并编写评审报告。</w:t>
      </w:r>
    </w:p>
    <w:p>
      <w:pPr>
        <w:pStyle w:val="9"/>
        <w:spacing w:after="0" w:line="440" w:lineRule="exact"/>
        <w:ind w:firstLine="480" w:firstLineChars="200"/>
        <w:textAlignment w:val="baseline"/>
        <w:rPr>
          <w:rFonts w:eastAsia="宋体" w:cs="宋体"/>
          <w:color w:val="auto"/>
          <w:sz w:val="24"/>
          <w:highlight w:val="none"/>
        </w:rPr>
      </w:pPr>
      <w:r>
        <w:rPr>
          <w:rFonts w:hint="eastAsia" w:eastAsia="宋体" w:cs="宋体"/>
          <w:color w:val="auto"/>
          <w:sz w:val="24"/>
          <w:highlight w:val="none"/>
          <w:shd w:val="clear" w:color="auto" w:fill="FFFFFF"/>
        </w:rPr>
        <w:t>采购代理机构应当在评审结束后2个工作日内将评审报告送采购人确认。采购人应当在收到评审报告后5个工作日内，从评审报告提出的成交候选供应商中，按照排序由高到低的原则确定</w:t>
      </w:r>
      <w:r>
        <w:rPr>
          <w:rFonts w:hint="eastAsia" w:eastAsia="宋体" w:cs="宋体"/>
          <w:color w:val="auto"/>
          <w:sz w:val="24"/>
          <w:highlight w:val="none"/>
        </w:rPr>
        <w:t>排名第一的成交候选人为</w:t>
      </w:r>
      <w:r>
        <w:rPr>
          <w:rFonts w:hint="eastAsia" w:eastAsia="宋体" w:cs="宋体"/>
          <w:color w:val="auto"/>
          <w:sz w:val="24"/>
          <w:highlight w:val="none"/>
          <w:shd w:val="clear" w:color="auto" w:fill="FFFFFF"/>
        </w:rPr>
        <w:t>成交供应商</w:t>
      </w:r>
      <w:r>
        <w:rPr>
          <w:rFonts w:hint="eastAsia" w:eastAsia="宋体" w:cs="宋体"/>
          <w:color w:val="auto"/>
          <w:sz w:val="24"/>
          <w:highlight w:val="none"/>
        </w:rPr>
        <w:t>。排名第一的成交候选人放弃成交、因不可抗力不能履行合同、不按照磋商文件要求提交履约保证金，或者被查实存在影响成交结果的违法行为等情形，不符合成交条件的，采购人可以按照磋商小组提出的成交候选人名单排序依次确定其他成交候选人为成交供应商，也可以重新组织采购。</w:t>
      </w:r>
    </w:p>
    <w:p>
      <w:pPr>
        <w:pStyle w:val="9"/>
        <w:spacing w:after="0" w:line="440" w:lineRule="exact"/>
        <w:ind w:firstLine="480" w:firstLineChars="200"/>
        <w:textAlignment w:val="baseline"/>
        <w:rPr>
          <w:rFonts w:eastAsia="宋体" w:cs="宋体"/>
          <w:color w:val="auto"/>
          <w:sz w:val="24"/>
          <w:highlight w:val="none"/>
        </w:rPr>
      </w:pPr>
      <w:r>
        <w:rPr>
          <w:rFonts w:hint="eastAsia" w:eastAsia="宋体" w:cs="宋体"/>
          <w:color w:val="auto"/>
          <w:sz w:val="24"/>
          <w:highlight w:val="none"/>
        </w:rPr>
        <w:t>确定成交结果后，公示期满未有异议，采购人将以成交通知书的方式通知成交供应商其报价被接受。</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7.2成交通知</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7.2.1确定成交结果后，采购人在规定时间内发出成交通知书，并按规定公告成交结果。</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7.2.2《成交通知书》将作为合同的组成部分。成交通知书发出后，采购人改变成交结果的，或者成交供应商放弃成交的，应当依法承担法律责任。</w:t>
      </w:r>
    </w:p>
    <w:p>
      <w:pPr>
        <w:spacing w:line="440" w:lineRule="exact"/>
        <w:rPr>
          <w:rFonts w:ascii="宋体" w:hAnsi="宋体" w:eastAsia="宋体" w:cs="宋体"/>
          <w:b/>
          <w:color w:val="auto"/>
          <w:sz w:val="24"/>
          <w:highlight w:val="none"/>
        </w:rPr>
      </w:pPr>
      <w:bookmarkStart w:id="83" w:name="_Toc312072267"/>
      <w:r>
        <w:rPr>
          <w:rFonts w:hint="eastAsia" w:ascii="宋体" w:hAnsi="宋体" w:eastAsia="宋体" w:cs="宋体"/>
          <w:b/>
          <w:color w:val="auto"/>
          <w:sz w:val="24"/>
          <w:highlight w:val="none"/>
        </w:rPr>
        <w:t>7.3 履约</w:t>
      </w:r>
      <w:bookmarkEnd w:id="83"/>
      <w:r>
        <w:rPr>
          <w:rFonts w:hint="eastAsia" w:ascii="宋体" w:hAnsi="宋体" w:eastAsia="宋体" w:cs="宋体"/>
          <w:b/>
          <w:color w:val="auto"/>
          <w:sz w:val="24"/>
          <w:highlight w:val="none"/>
        </w:rPr>
        <w:t>担保</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无。</w:t>
      </w:r>
    </w:p>
    <w:p>
      <w:pPr>
        <w:spacing w:line="440" w:lineRule="exact"/>
        <w:rPr>
          <w:rFonts w:ascii="宋体" w:hAnsi="宋体" w:eastAsia="宋体" w:cs="宋体"/>
          <w:color w:val="auto"/>
          <w:kern w:val="0"/>
          <w:sz w:val="24"/>
          <w:highlight w:val="none"/>
        </w:rPr>
      </w:pPr>
      <w:r>
        <w:rPr>
          <w:rFonts w:hint="eastAsia" w:ascii="宋体" w:hAnsi="宋体" w:eastAsia="宋体" w:cs="宋体"/>
          <w:b/>
          <w:color w:val="auto"/>
          <w:sz w:val="24"/>
          <w:highlight w:val="none"/>
        </w:rPr>
        <w:t>7.4 签订合同</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kern w:val="0"/>
          <w:sz w:val="24"/>
          <w:highlight w:val="none"/>
        </w:rPr>
        <w:t>成交通知书发出之日起30日内，按照</w:t>
      </w:r>
      <w:r>
        <w:rPr>
          <w:rFonts w:hint="eastAsia" w:ascii="宋体" w:hAnsi="宋体" w:eastAsia="宋体" w:cs="宋体"/>
          <w:color w:val="auto"/>
          <w:sz w:val="24"/>
          <w:highlight w:val="none"/>
        </w:rPr>
        <w:t>磋商</w:t>
      </w:r>
      <w:r>
        <w:rPr>
          <w:rFonts w:hint="eastAsia" w:ascii="宋体" w:hAnsi="宋体" w:eastAsia="宋体" w:cs="宋体"/>
          <w:color w:val="auto"/>
          <w:kern w:val="0"/>
          <w:sz w:val="24"/>
          <w:highlight w:val="none"/>
        </w:rPr>
        <w:t>文件确定的事项签订合同</w:t>
      </w:r>
      <w:r>
        <w:rPr>
          <w:rFonts w:hint="eastAsia" w:ascii="宋体" w:hAnsi="宋体" w:eastAsia="宋体" w:cs="宋体"/>
          <w:color w:val="auto"/>
          <w:sz w:val="24"/>
          <w:highlight w:val="none"/>
        </w:rPr>
        <w:t>。磋商文件、成交供应商的响应文件以及磋商过程中的最终书面报价、有关澄清、承诺文件等均为合同的组成部分。</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8. 重新采购</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8.1 重新采购</w:t>
      </w:r>
    </w:p>
    <w:p>
      <w:pPr>
        <w:widowControl/>
        <w:spacing w:line="440" w:lineRule="exact"/>
        <w:ind w:firstLine="480"/>
        <w:jc w:val="left"/>
        <w:rPr>
          <w:rFonts w:ascii="宋体" w:hAnsi="宋体" w:eastAsia="宋体" w:cs="宋体"/>
          <w:color w:val="auto"/>
          <w:kern w:val="0"/>
          <w:sz w:val="24"/>
          <w:highlight w:val="none"/>
        </w:rPr>
      </w:pPr>
      <w:r>
        <w:rPr>
          <w:rFonts w:hint="eastAsia" w:ascii="宋体" w:hAnsi="宋体" w:eastAsia="宋体" w:cs="宋体"/>
          <w:color w:val="auto"/>
          <w:sz w:val="24"/>
          <w:highlight w:val="none"/>
        </w:rPr>
        <w:t>出现下列情形之一的，采购人或者采购代理机构应当终止竞争性磋商采购活动，发布项目终止公告并</w:t>
      </w:r>
      <w:r>
        <w:rPr>
          <w:rFonts w:hint="eastAsia" w:ascii="宋体" w:hAnsi="宋体" w:eastAsia="宋体" w:cs="宋体"/>
          <w:color w:val="auto"/>
          <w:kern w:val="0"/>
          <w:sz w:val="24"/>
          <w:highlight w:val="none"/>
        </w:rPr>
        <w:t>说明原因，重新开展采购活动：</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sz w:val="24"/>
          <w:highlight w:val="none"/>
        </w:rPr>
        <w:t>）因情况变化，不再符合规定的竞争性磋商采购方式适用情形的；</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（二）出现影响采购公正的违法、违规行为的；</w:t>
      </w:r>
    </w:p>
    <w:p>
      <w:pPr>
        <w:spacing w:line="44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sz w:val="24"/>
          <w:highlight w:val="none"/>
        </w:rPr>
        <w:t>（三）除特殊</w:t>
      </w:r>
      <w:r>
        <w:rPr>
          <w:rFonts w:hint="eastAsia" w:ascii="宋体" w:hAnsi="宋体" w:eastAsia="宋体" w:cs="宋体"/>
          <w:color w:val="auto"/>
          <w:kern w:val="0"/>
          <w:sz w:val="24"/>
          <w:highlight w:val="none"/>
        </w:rPr>
        <w:t>情形外，在采购过程中符合要求的供应商或者报价未超过采购预算的供应商不足3家的。</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9. 纪律和监督</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9.1 对采购人的纪律要求</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采购人不得泄漏采购报价活动中应当保密的情况和资料，不得与供应商串通损害国家利益、社会公共利益和他人合法权益。</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9.2 对供应商的纪律要求</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供应商不得相互串通报价或者与采购人串通报价，不得向采购人或者磋商小组成员行贿谋取成交，不得以他人名义报价或者以其他方式弄虚作假骗取成交；供应商不得以任何方式干扰、影响磋商工作。</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9.3 对磋商小组成员的纪律要求</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磋商小组成员不得收受他人的财物或者其他好处，不得向他人透漏对响应文件的评审和比较、成交供应商候选人的推荐情况以及与磋商有关的其他情况。在磋商活动中，磋商小组成员不得擅离职守，影响磋商程序正常进行，不得使用第三章“磋商办法”没有规定的评审因素和标准进行磋商。</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9.4 对与磋商活动有关的工作人员的纪律要求</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与磋商活动有关的工作人员不得收受他人的财物或者其他好处，不得向他人透漏对响应文件的评审和比较、成交供应商候选人的推荐情况以及与磋商有关的其他情况。在磋商活动中，与磋商活动有关的工作人员不得擅离职守，影响磋商程序正常进行</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10. 解释权</w:t>
      </w:r>
    </w:p>
    <w:p>
      <w:pPr>
        <w:spacing w:line="44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本磋商文件的最终解释权归采购人，当对一个问题有多种解释时以采购人的书面解释为准。磋商文件未做须知明示，采购人将依据相关法律、法规做出解释。</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11.需要补充的其他内容</w:t>
      </w:r>
    </w:p>
    <w:p>
      <w:pPr>
        <w:spacing w:line="440" w:lineRule="exact"/>
        <w:ind w:firstLine="480" w:firstLineChars="200"/>
        <w:jc w:val="center"/>
        <w:rPr>
          <w:rFonts w:ascii="宋体" w:hAnsi="宋体" w:eastAsia="宋体" w:cs="宋体"/>
          <w:b/>
          <w:bCs/>
          <w:color w:val="auto"/>
          <w:sz w:val="44"/>
          <w:szCs w:val="44"/>
          <w:highlight w:val="none"/>
        </w:rPr>
      </w:pPr>
      <w:r>
        <w:rPr>
          <w:rFonts w:hint="eastAsia" w:ascii="宋体" w:hAnsi="宋体" w:eastAsia="宋体" w:cs="宋体"/>
          <w:bCs/>
          <w:color w:val="auto"/>
          <w:sz w:val="24"/>
          <w:highlight w:val="none"/>
        </w:rPr>
        <w:t>见供应商须知前附表。</w:t>
      </w:r>
      <w:r>
        <w:rPr>
          <w:rFonts w:hint="eastAsia" w:ascii="宋体" w:hAnsi="宋体" w:eastAsia="宋体" w:cs="宋体"/>
          <w:b/>
          <w:color w:val="auto"/>
          <w:sz w:val="24"/>
          <w:highlight w:val="none"/>
        </w:rPr>
        <w:br w:type="page"/>
      </w:r>
      <w:bookmarkStart w:id="84" w:name="_Toc950"/>
      <w:bookmarkStart w:id="85" w:name="_Toc450115336"/>
      <w:r>
        <w:rPr>
          <w:rFonts w:hint="eastAsia" w:ascii="宋体" w:hAnsi="宋体" w:eastAsia="宋体" w:cs="宋体"/>
          <w:b/>
          <w:bCs/>
          <w:color w:val="auto"/>
          <w:sz w:val="44"/>
          <w:szCs w:val="44"/>
          <w:highlight w:val="none"/>
        </w:rPr>
        <w:t>第三章</w:t>
      </w:r>
      <w:bookmarkEnd w:id="84"/>
      <w:r>
        <w:rPr>
          <w:rFonts w:hint="eastAsia" w:ascii="宋体" w:hAnsi="宋体" w:eastAsia="宋体" w:cs="宋体"/>
          <w:b/>
          <w:bCs/>
          <w:color w:val="auto"/>
          <w:sz w:val="44"/>
          <w:szCs w:val="44"/>
          <w:highlight w:val="none"/>
        </w:rPr>
        <w:t xml:space="preserve">  项目说明</w:t>
      </w:r>
      <w:bookmarkEnd w:id="85"/>
    </w:p>
    <w:p>
      <w:pPr>
        <w:rPr>
          <w:rFonts w:ascii="宋体" w:hAnsi="宋体" w:eastAsia="宋体" w:cs="宋体"/>
          <w:color w:val="auto"/>
          <w:highlight w:val="none"/>
        </w:rPr>
      </w:pPr>
      <w:bookmarkStart w:id="86" w:name="_Toc450115337"/>
      <w:bookmarkStart w:id="87" w:name="_Toc1151"/>
    </w:p>
    <w:p>
      <w:pPr>
        <w:pStyle w:val="25"/>
        <w:ind w:firstLine="420" w:firstLineChars="175"/>
        <w:rPr>
          <w:rFonts w:eastAsia="宋体"/>
          <w:color w:val="auto"/>
          <w:highlight w:val="none"/>
        </w:rPr>
      </w:pPr>
      <w:r>
        <w:rPr>
          <w:rFonts w:hint="eastAsia" w:eastAsia="宋体"/>
          <w:color w:val="auto"/>
          <w:highlight w:val="none"/>
        </w:rPr>
        <w:t>本招标工程项目的材料、设备、施工须达到现行中华人民共和国以及省、自治区、直辖市或行业的工程建设标准、规范的要求。</w:t>
      </w:r>
    </w:p>
    <w:p>
      <w:pPr>
        <w:autoSpaceDE w:val="0"/>
        <w:autoSpaceDN w:val="0"/>
        <w:adjustRightInd w:val="0"/>
        <w:spacing w:line="420" w:lineRule="auto"/>
        <w:ind w:firstLine="480" w:firstLineChars="200"/>
        <w:jc w:val="left"/>
        <w:rPr>
          <w:rFonts w:ascii="宋体" w:hAnsi="宋体" w:eastAsia="宋体" w:cs="Times New Roman"/>
          <w:bCs/>
          <w:color w:val="auto"/>
          <w:sz w:val="24"/>
          <w:highlight w:val="none"/>
        </w:rPr>
      </w:pPr>
      <w:r>
        <w:rPr>
          <w:rFonts w:hint="eastAsia" w:ascii="宋体" w:hAnsi="宋体" w:eastAsia="宋体" w:cs="Times New Roman"/>
          <w:bCs/>
          <w:color w:val="auto"/>
          <w:sz w:val="24"/>
          <w:highlight w:val="none"/>
        </w:rPr>
        <w:t>1、当设备出现故障时（如室内外消火栓及管道爆破等突发问题），中标单位接到通知，指定的维修工程师应于</w:t>
      </w:r>
      <w:r>
        <w:rPr>
          <w:rFonts w:hint="eastAsia" w:ascii="宋体" w:hAnsi="宋体" w:eastAsia="宋体"/>
          <w:bCs/>
          <w:color w:val="auto"/>
          <w:sz w:val="24"/>
          <w:highlight w:val="none"/>
        </w:rPr>
        <w:t>2</w:t>
      </w:r>
      <w:r>
        <w:rPr>
          <w:rFonts w:hint="eastAsia" w:ascii="宋体" w:hAnsi="宋体" w:eastAsia="宋体" w:cs="Times New Roman"/>
          <w:bCs/>
          <w:color w:val="auto"/>
          <w:sz w:val="24"/>
          <w:highlight w:val="none"/>
        </w:rPr>
        <w:t>小</w:t>
      </w:r>
      <w:r>
        <w:rPr>
          <w:rFonts w:hint="eastAsia" w:ascii="宋体" w:hAnsi="宋体" w:eastAsia="宋体"/>
          <w:bCs/>
          <w:color w:val="auto"/>
          <w:sz w:val="24"/>
          <w:highlight w:val="none"/>
        </w:rPr>
        <w:t>时内赶到现场进行应急维修，维修完成后出具《应急检修报告》。例行维保</w:t>
      </w:r>
      <w:r>
        <w:rPr>
          <w:rFonts w:hint="eastAsia" w:ascii="宋体" w:hAnsi="宋体" w:eastAsia="宋体" w:cs="Times New Roman"/>
          <w:bCs/>
          <w:color w:val="auto"/>
          <w:sz w:val="24"/>
          <w:highlight w:val="none"/>
        </w:rPr>
        <w:t>发现问题最迟在3个工作日内完成维修任务，遇到特殊紧急情况，确保随叫随到。</w:t>
      </w:r>
    </w:p>
    <w:p>
      <w:pPr>
        <w:autoSpaceDE w:val="0"/>
        <w:autoSpaceDN w:val="0"/>
        <w:adjustRightInd w:val="0"/>
        <w:spacing w:line="420" w:lineRule="auto"/>
        <w:ind w:firstLine="480" w:firstLineChars="200"/>
        <w:jc w:val="left"/>
        <w:rPr>
          <w:rFonts w:ascii="宋体" w:hAnsi="宋体" w:eastAsia="宋体" w:cs="Times New Roman"/>
          <w:bCs/>
          <w:color w:val="auto"/>
          <w:sz w:val="24"/>
          <w:highlight w:val="none"/>
        </w:rPr>
      </w:pPr>
      <w:r>
        <w:rPr>
          <w:rFonts w:hint="eastAsia" w:ascii="宋体" w:hAnsi="宋体" w:eastAsia="宋体"/>
          <w:bCs/>
          <w:color w:val="auto"/>
          <w:sz w:val="24"/>
          <w:highlight w:val="none"/>
        </w:rPr>
        <w:t>2</w:t>
      </w:r>
      <w:r>
        <w:rPr>
          <w:rFonts w:hint="eastAsia" w:ascii="宋体" w:hAnsi="宋体" w:eastAsia="宋体" w:cs="Times New Roman"/>
          <w:bCs/>
          <w:color w:val="auto"/>
          <w:sz w:val="24"/>
          <w:highlight w:val="none"/>
        </w:rPr>
        <w:t>、临时检查：在重大活动前或公安消防机构进行例行检查时，应招标方要求能够随时对消防系统进行维修并随同公安消防机构检查。</w:t>
      </w:r>
    </w:p>
    <w:p>
      <w:pPr>
        <w:pStyle w:val="25"/>
        <w:rPr>
          <w:rFonts w:eastAsia="宋体"/>
          <w:color w:val="auto"/>
          <w:highlight w:val="none"/>
        </w:rPr>
      </w:pPr>
      <w:r>
        <w:rPr>
          <w:rFonts w:hint="eastAsia" w:eastAsia="宋体"/>
          <w:bCs/>
          <w:color w:val="auto"/>
          <w:highlight w:val="none"/>
        </w:rPr>
        <w:t>3</w:t>
      </w:r>
      <w:r>
        <w:rPr>
          <w:rFonts w:hint="eastAsia" w:eastAsia="宋体" w:cs="Times New Roman"/>
          <w:bCs/>
          <w:color w:val="auto"/>
          <w:highlight w:val="none"/>
        </w:rPr>
        <w:t>、中标方应有完备的维修设备和测试仪器、器材，维修施工做到文明有序，工程结束恢复建筑物及环境原貌，严格遵守施工现场的安全管理规定。</w:t>
      </w:r>
    </w:p>
    <w:p>
      <w:pPr>
        <w:pStyle w:val="25"/>
        <w:rPr>
          <w:rFonts w:eastAsia="宋体"/>
          <w:color w:val="auto"/>
          <w:highlight w:val="none"/>
          <w:u w:val="single"/>
        </w:rPr>
      </w:pPr>
      <w:r>
        <w:rPr>
          <w:rFonts w:hint="eastAsia"/>
          <w:color w:val="auto"/>
          <w:highlight w:val="none"/>
        </w:rPr>
        <w:t>4、</w:t>
      </w:r>
      <w:r>
        <w:rPr>
          <w:rFonts w:hint="eastAsia"/>
          <w:color w:val="auto"/>
          <w:highlight w:val="none"/>
          <w:u w:val="none"/>
        </w:rPr>
        <w:t>相关工程改造建设质量标准符合消防法和国家有关规定。</w:t>
      </w:r>
    </w:p>
    <w:p>
      <w:pPr>
        <w:pStyle w:val="25"/>
        <w:rPr>
          <w:rFonts w:eastAsia="宋体"/>
          <w:color w:val="auto"/>
          <w:highlight w:val="none"/>
        </w:rPr>
      </w:pPr>
    </w:p>
    <w:p>
      <w:pPr>
        <w:pStyle w:val="25"/>
        <w:rPr>
          <w:rFonts w:eastAsia="宋体"/>
          <w:color w:val="auto"/>
          <w:highlight w:val="none"/>
        </w:rPr>
      </w:pPr>
    </w:p>
    <w:p>
      <w:pPr>
        <w:pStyle w:val="25"/>
        <w:rPr>
          <w:rFonts w:eastAsia="宋体"/>
          <w:color w:val="auto"/>
          <w:highlight w:val="none"/>
        </w:rPr>
      </w:pPr>
    </w:p>
    <w:p>
      <w:pPr>
        <w:pStyle w:val="25"/>
        <w:rPr>
          <w:rFonts w:eastAsia="宋体"/>
          <w:color w:val="auto"/>
          <w:highlight w:val="none"/>
        </w:rPr>
      </w:pPr>
    </w:p>
    <w:p>
      <w:pPr>
        <w:pStyle w:val="25"/>
        <w:rPr>
          <w:rFonts w:eastAsia="宋体"/>
          <w:color w:val="auto"/>
          <w:highlight w:val="none"/>
        </w:rPr>
      </w:pPr>
    </w:p>
    <w:p>
      <w:pPr>
        <w:pStyle w:val="25"/>
        <w:rPr>
          <w:rFonts w:eastAsia="宋体"/>
          <w:color w:val="auto"/>
          <w:highlight w:val="none"/>
        </w:rPr>
      </w:pPr>
    </w:p>
    <w:p>
      <w:pPr>
        <w:pStyle w:val="25"/>
        <w:rPr>
          <w:rFonts w:eastAsia="宋体"/>
          <w:color w:val="auto"/>
          <w:highlight w:val="none"/>
        </w:rPr>
      </w:pPr>
    </w:p>
    <w:p>
      <w:pPr>
        <w:pStyle w:val="25"/>
        <w:rPr>
          <w:rFonts w:eastAsia="宋体"/>
          <w:color w:val="auto"/>
          <w:highlight w:val="none"/>
        </w:rPr>
      </w:pPr>
    </w:p>
    <w:p>
      <w:pPr>
        <w:pStyle w:val="25"/>
        <w:rPr>
          <w:rFonts w:eastAsia="宋体"/>
          <w:color w:val="auto"/>
          <w:highlight w:val="none"/>
        </w:rPr>
      </w:pPr>
    </w:p>
    <w:p>
      <w:pPr>
        <w:pStyle w:val="25"/>
        <w:rPr>
          <w:rFonts w:eastAsia="宋体"/>
          <w:color w:val="auto"/>
          <w:highlight w:val="none"/>
        </w:rPr>
      </w:pPr>
    </w:p>
    <w:p>
      <w:pPr>
        <w:pStyle w:val="25"/>
        <w:rPr>
          <w:rFonts w:eastAsia="宋体"/>
          <w:color w:val="auto"/>
          <w:highlight w:val="none"/>
        </w:rPr>
      </w:pPr>
    </w:p>
    <w:p>
      <w:pPr>
        <w:pStyle w:val="25"/>
        <w:rPr>
          <w:rFonts w:eastAsia="宋体"/>
          <w:color w:val="auto"/>
          <w:highlight w:val="none"/>
        </w:rPr>
      </w:pPr>
    </w:p>
    <w:p>
      <w:pPr>
        <w:pStyle w:val="25"/>
        <w:ind w:firstLine="0" w:firstLineChars="0"/>
        <w:rPr>
          <w:rFonts w:eastAsia="宋体"/>
          <w:color w:val="auto"/>
          <w:highlight w:val="none"/>
        </w:rPr>
      </w:pPr>
    </w:p>
    <w:p>
      <w:pPr>
        <w:pStyle w:val="25"/>
        <w:ind w:firstLine="0" w:firstLineChars="0"/>
        <w:rPr>
          <w:rFonts w:eastAsia="宋体"/>
          <w:color w:val="auto"/>
          <w:highlight w:val="none"/>
        </w:rPr>
      </w:pPr>
    </w:p>
    <w:p>
      <w:pPr>
        <w:pStyle w:val="3"/>
        <w:keepNext w:val="0"/>
        <w:keepLines w:val="0"/>
        <w:topLinePunct/>
        <w:spacing w:before="0" w:after="0" w:line="240" w:lineRule="auto"/>
        <w:rPr>
          <w:rFonts w:ascii="宋体" w:hAnsi="宋体" w:eastAsia="宋体" w:cs="宋体"/>
          <w:color w:val="auto"/>
          <w:sz w:val="36"/>
          <w:highlight w:val="none"/>
        </w:rPr>
      </w:pPr>
      <w:r>
        <w:rPr>
          <w:rFonts w:hint="eastAsia" w:ascii="宋体" w:hAnsi="宋体" w:eastAsia="宋体" w:cs="宋体"/>
          <w:color w:val="auto"/>
          <w:highlight w:val="none"/>
        </w:rPr>
        <w:t>第四章 合同格式</w:t>
      </w:r>
      <w:bookmarkEnd w:id="86"/>
      <w:bookmarkEnd w:id="87"/>
      <w:bookmarkStart w:id="88" w:name="_Toc419099961"/>
      <w:bookmarkStart w:id="89" w:name="_Toc421524511"/>
      <w:bookmarkStart w:id="90" w:name="_Toc3126"/>
    </w:p>
    <w:p>
      <w:pPr>
        <w:spacing w:line="360" w:lineRule="auto"/>
        <w:rPr>
          <w:rFonts w:ascii="宋体" w:hAnsi="宋体" w:eastAsia="宋体" w:cs="宋体"/>
          <w:b/>
          <w:bCs/>
          <w:color w:val="auto"/>
          <w:sz w:val="24"/>
          <w:highlight w:val="none"/>
        </w:rPr>
      </w:pPr>
    </w:p>
    <w:p>
      <w:pPr>
        <w:spacing w:line="360" w:lineRule="auto"/>
        <w:jc w:val="center"/>
        <w:rPr>
          <w:rFonts w:ascii="宋体" w:hAnsi="宋体" w:eastAsia="宋体" w:cs="宋体"/>
          <w:b/>
          <w:bCs/>
          <w:color w:val="auto"/>
          <w:sz w:val="36"/>
          <w:highlight w:val="none"/>
        </w:rPr>
      </w:pPr>
      <w:r>
        <w:rPr>
          <w:rFonts w:hint="eastAsia" w:ascii="宋体" w:hAnsi="宋体" w:eastAsia="宋体" w:cs="宋体"/>
          <w:b/>
          <w:bCs/>
          <w:color w:val="auto"/>
          <w:sz w:val="36"/>
          <w:highlight w:val="none"/>
        </w:rPr>
        <w:t>（采用济宁医学院制式合同）</w:t>
      </w:r>
    </w:p>
    <w:p>
      <w:pPr>
        <w:spacing w:line="360" w:lineRule="auto"/>
        <w:ind w:left="708" w:leftChars="337"/>
        <w:jc w:val="center"/>
        <w:rPr>
          <w:rFonts w:ascii="宋体" w:hAnsi="宋体" w:eastAsia="宋体" w:cs="宋体"/>
          <w:b/>
          <w:bCs/>
          <w:color w:val="auto"/>
          <w:sz w:val="36"/>
          <w:highlight w:val="none"/>
        </w:rPr>
      </w:pPr>
    </w:p>
    <w:p>
      <w:pPr>
        <w:spacing w:line="360" w:lineRule="auto"/>
        <w:ind w:left="708" w:leftChars="337"/>
        <w:jc w:val="center"/>
        <w:rPr>
          <w:rFonts w:ascii="宋体" w:hAnsi="宋体" w:eastAsia="宋体" w:cs="宋体"/>
          <w:b/>
          <w:bCs/>
          <w:color w:val="auto"/>
          <w:sz w:val="36"/>
          <w:highlight w:val="none"/>
        </w:rPr>
      </w:pPr>
    </w:p>
    <w:p>
      <w:pPr>
        <w:spacing w:line="360" w:lineRule="auto"/>
        <w:ind w:left="708" w:leftChars="337"/>
        <w:jc w:val="center"/>
        <w:rPr>
          <w:rFonts w:ascii="宋体" w:hAnsi="宋体" w:eastAsia="宋体" w:cs="宋体"/>
          <w:b/>
          <w:bCs/>
          <w:color w:val="auto"/>
          <w:sz w:val="36"/>
          <w:highlight w:val="none"/>
        </w:rPr>
      </w:pPr>
    </w:p>
    <w:p>
      <w:pPr>
        <w:spacing w:line="360" w:lineRule="auto"/>
        <w:ind w:left="708" w:leftChars="337"/>
        <w:jc w:val="center"/>
        <w:rPr>
          <w:rFonts w:ascii="宋体" w:hAnsi="宋体" w:eastAsia="宋体" w:cs="宋体"/>
          <w:b/>
          <w:bCs/>
          <w:color w:val="auto"/>
          <w:sz w:val="36"/>
          <w:highlight w:val="none"/>
        </w:rPr>
      </w:pPr>
    </w:p>
    <w:p>
      <w:pPr>
        <w:spacing w:line="360" w:lineRule="auto"/>
        <w:ind w:left="708" w:leftChars="337"/>
        <w:jc w:val="center"/>
        <w:rPr>
          <w:rFonts w:ascii="宋体" w:hAnsi="宋体" w:eastAsia="宋体" w:cs="宋体"/>
          <w:b/>
          <w:bCs/>
          <w:color w:val="auto"/>
          <w:sz w:val="36"/>
          <w:highlight w:val="none"/>
        </w:rPr>
      </w:pPr>
    </w:p>
    <w:p>
      <w:pPr>
        <w:spacing w:line="360" w:lineRule="auto"/>
        <w:ind w:left="708" w:leftChars="337"/>
        <w:jc w:val="center"/>
        <w:rPr>
          <w:rFonts w:ascii="宋体" w:hAnsi="宋体" w:eastAsia="宋体" w:cs="宋体"/>
          <w:b/>
          <w:bCs/>
          <w:color w:val="auto"/>
          <w:sz w:val="36"/>
          <w:highlight w:val="none"/>
        </w:rPr>
      </w:pPr>
    </w:p>
    <w:p>
      <w:pPr>
        <w:spacing w:line="360" w:lineRule="auto"/>
        <w:ind w:left="708" w:leftChars="337"/>
        <w:jc w:val="center"/>
        <w:rPr>
          <w:rFonts w:ascii="宋体" w:hAnsi="宋体" w:eastAsia="宋体" w:cs="宋体"/>
          <w:b/>
          <w:bCs/>
          <w:color w:val="auto"/>
          <w:sz w:val="36"/>
          <w:highlight w:val="none"/>
        </w:rPr>
      </w:pPr>
    </w:p>
    <w:p>
      <w:pPr>
        <w:spacing w:line="360" w:lineRule="auto"/>
        <w:ind w:left="708" w:leftChars="337"/>
        <w:jc w:val="center"/>
        <w:rPr>
          <w:rFonts w:ascii="宋体" w:hAnsi="宋体" w:eastAsia="宋体" w:cs="宋体"/>
          <w:b/>
          <w:bCs/>
          <w:color w:val="auto"/>
          <w:sz w:val="36"/>
          <w:highlight w:val="none"/>
        </w:rPr>
      </w:pPr>
    </w:p>
    <w:p>
      <w:pPr>
        <w:spacing w:line="360" w:lineRule="auto"/>
        <w:ind w:left="708" w:leftChars="337"/>
        <w:jc w:val="center"/>
        <w:rPr>
          <w:rFonts w:ascii="宋体" w:hAnsi="宋体" w:eastAsia="宋体" w:cs="宋体"/>
          <w:b/>
          <w:bCs/>
          <w:color w:val="auto"/>
          <w:sz w:val="36"/>
          <w:highlight w:val="none"/>
        </w:rPr>
      </w:pPr>
    </w:p>
    <w:p>
      <w:pPr>
        <w:spacing w:line="360" w:lineRule="auto"/>
        <w:ind w:left="708" w:leftChars="337"/>
        <w:jc w:val="center"/>
        <w:rPr>
          <w:rFonts w:ascii="宋体" w:hAnsi="宋体" w:eastAsia="宋体" w:cs="宋体"/>
          <w:b/>
          <w:bCs/>
          <w:color w:val="auto"/>
          <w:sz w:val="36"/>
          <w:highlight w:val="none"/>
        </w:rPr>
      </w:pPr>
    </w:p>
    <w:p>
      <w:pPr>
        <w:spacing w:line="360" w:lineRule="auto"/>
        <w:ind w:left="708" w:leftChars="337"/>
        <w:jc w:val="center"/>
        <w:rPr>
          <w:rFonts w:ascii="宋体" w:hAnsi="宋体" w:eastAsia="宋体" w:cs="宋体"/>
          <w:b/>
          <w:bCs/>
          <w:color w:val="auto"/>
          <w:sz w:val="36"/>
          <w:highlight w:val="none"/>
        </w:rPr>
      </w:pPr>
    </w:p>
    <w:p>
      <w:pPr>
        <w:spacing w:line="360" w:lineRule="auto"/>
        <w:ind w:left="708" w:leftChars="337"/>
        <w:jc w:val="center"/>
        <w:rPr>
          <w:rFonts w:ascii="宋体" w:hAnsi="宋体" w:eastAsia="宋体" w:cs="宋体"/>
          <w:b/>
          <w:bCs/>
          <w:color w:val="auto"/>
          <w:sz w:val="36"/>
          <w:highlight w:val="none"/>
        </w:rPr>
      </w:pPr>
    </w:p>
    <w:p>
      <w:pPr>
        <w:spacing w:line="360" w:lineRule="auto"/>
        <w:ind w:left="708" w:leftChars="337"/>
        <w:jc w:val="center"/>
        <w:rPr>
          <w:rFonts w:ascii="宋体" w:hAnsi="宋体" w:eastAsia="宋体" w:cs="宋体"/>
          <w:b/>
          <w:bCs/>
          <w:color w:val="auto"/>
          <w:sz w:val="36"/>
          <w:highlight w:val="none"/>
        </w:rPr>
      </w:pPr>
    </w:p>
    <w:p>
      <w:pPr>
        <w:spacing w:line="360" w:lineRule="auto"/>
        <w:ind w:left="708" w:leftChars="337"/>
        <w:jc w:val="center"/>
        <w:rPr>
          <w:rFonts w:ascii="宋体" w:hAnsi="宋体" w:eastAsia="宋体" w:cs="宋体"/>
          <w:b/>
          <w:bCs/>
          <w:color w:val="auto"/>
          <w:sz w:val="36"/>
          <w:highlight w:val="none"/>
        </w:rPr>
      </w:pPr>
    </w:p>
    <w:p>
      <w:pPr>
        <w:spacing w:line="360" w:lineRule="auto"/>
        <w:ind w:left="708" w:leftChars="337"/>
        <w:jc w:val="center"/>
        <w:rPr>
          <w:rFonts w:ascii="宋体" w:hAnsi="宋体" w:eastAsia="宋体" w:cs="宋体"/>
          <w:b/>
          <w:bCs/>
          <w:color w:val="auto"/>
          <w:sz w:val="36"/>
          <w:highlight w:val="none"/>
        </w:rPr>
      </w:pPr>
    </w:p>
    <w:p>
      <w:pPr>
        <w:pStyle w:val="3"/>
        <w:jc w:val="both"/>
        <w:rPr>
          <w:rFonts w:ascii="宋体" w:hAnsi="宋体" w:eastAsia="宋体" w:cs="宋体"/>
          <w:bCs w:val="0"/>
          <w:color w:val="auto"/>
          <w:highlight w:val="none"/>
        </w:rPr>
      </w:pPr>
      <w:bookmarkStart w:id="91" w:name="_Toc450115353"/>
    </w:p>
    <w:p>
      <w:pPr>
        <w:rPr>
          <w:color w:val="auto"/>
          <w:highlight w:val="none"/>
        </w:rPr>
      </w:pPr>
    </w:p>
    <w:p>
      <w:pPr>
        <w:pStyle w:val="3"/>
        <w:rPr>
          <w:rFonts w:ascii="宋体" w:hAnsi="宋体" w:eastAsia="宋体" w:cs="宋体"/>
          <w:color w:val="auto"/>
          <w:highlight w:val="none"/>
        </w:rPr>
      </w:pPr>
      <w:r>
        <w:rPr>
          <w:rFonts w:hint="eastAsia" w:ascii="宋体" w:hAnsi="宋体" w:eastAsia="宋体" w:cs="宋体"/>
          <w:bCs w:val="0"/>
          <w:color w:val="auto"/>
          <w:highlight w:val="none"/>
        </w:rPr>
        <w:t>第五章  响应文件格式</w:t>
      </w:r>
      <w:bookmarkEnd w:id="88"/>
      <w:bookmarkEnd w:id="89"/>
      <w:bookmarkEnd w:id="90"/>
      <w:bookmarkEnd w:id="91"/>
    </w:p>
    <w:p>
      <w:pPr>
        <w:rPr>
          <w:rFonts w:ascii="宋体" w:hAnsi="宋体" w:eastAsia="宋体" w:cs="宋体"/>
          <w:color w:val="auto"/>
          <w:szCs w:val="21"/>
          <w:highlight w:val="none"/>
        </w:rPr>
      </w:pPr>
    </w:p>
    <w:p>
      <w:pPr>
        <w:autoSpaceDE w:val="0"/>
        <w:autoSpaceDN w:val="0"/>
        <w:adjustRightInd w:val="0"/>
        <w:ind w:firstLine="6160" w:firstLineChars="1400"/>
        <w:jc w:val="left"/>
        <w:rPr>
          <w:rFonts w:ascii="宋体" w:hAnsi="宋体" w:eastAsia="宋体" w:cs="宋体"/>
          <w:color w:val="auto"/>
          <w:kern w:val="0"/>
          <w:sz w:val="44"/>
          <w:szCs w:val="44"/>
          <w:highlight w:val="none"/>
        </w:rPr>
      </w:pPr>
      <w:r>
        <w:rPr>
          <w:rFonts w:hint="eastAsia" w:ascii="宋体" w:hAnsi="宋体" w:eastAsia="宋体" w:cs="宋体"/>
          <w:color w:val="auto"/>
          <w:kern w:val="0"/>
          <w:sz w:val="44"/>
          <w:szCs w:val="44"/>
          <w:highlight w:val="none"/>
          <w:bdr w:val="single" w:color="auto" w:sz="4" w:space="0"/>
        </w:rPr>
        <w:t>正本/副本</w:t>
      </w:r>
    </w:p>
    <w:p>
      <w:pPr>
        <w:rPr>
          <w:rFonts w:ascii="宋体" w:hAnsi="宋体" w:eastAsia="宋体" w:cs="宋体"/>
          <w:color w:val="auto"/>
          <w:szCs w:val="21"/>
          <w:highlight w:val="none"/>
        </w:rPr>
      </w:pPr>
    </w:p>
    <w:p>
      <w:pPr>
        <w:jc w:val="center"/>
        <w:rPr>
          <w:rFonts w:ascii="宋体" w:hAnsi="宋体" w:eastAsia="宋体" w:cs="宋体"/>
          <w:color w:val="auto"/>
          <w:sz w:val="36"/>
          <w:szCs w:val="36"/>
          <w:highlight w:val="none"/>
        </w:rPr>
      </w:pP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rPr>
        <w:t>（项目名称）</w:t>
      </w:r>
    </w:p>
    <w:p>
      <w:pPr>
        <w:rPr>
          <w:rFonts w:ascii="宋体" w:hAnsi="宋体" w:eastAsia="宋体" w:cs="宋体"/>
          <w:b/>
          <w:color w:val="auto"/>
          <w:szCs w:val="21"/>
          <w:highlight w:val="none"/>
        </w:rPr>
      </w:pPr>
    </w:p>
    <w:p>
      <w:pPr>
        <w:rPr>
          <w:rFonts w:ascii="宋体" w:hAnsi="宋体" w:eastAsia="宋体" w:cs="宋体"/>
          <w:b/>
          <w:color w:val="auto"/>
          <w:szCs w:val="21"/>
          <w:highlight w:val="none"/>
        </w:rPr>
      </w:pPr>
    </w:p>
    <w:p>
      <w:pPr>
        <w:rPr>
          <w:rFonts w:ascii="宋体" w:hAnsi="宋体" w:eastAsia="宋体" w:cs="宋体"/>
          <w:b/>
          <w:color w:val="auto"/>
          <w:szCs w:val="21"/>
          <w:highlight w:val="none"/>
        </w:rPr>
      </w:pPr>
    </w:p>
    <w:p>
      <w:pPr>
        <w:rPr>
          <w:rFonts w:ascii="宋体" w:hAnsi="宋体" w:eastAsia="宋体" w:cs="宋体"/>
          <w:b/>
          <w:color w:val="auto"/>
          <w:szCs w:val="21"/>
          <w:highlight w:val="none"/>
        </w:rPr>
      </w:pPr>
    </w:p>
    <w:p>
      <w:pPr>
        <w:rPr>
          <w:rFonts w:ascii="宋体" w:hAnsi="宋体" w:eastAsia="宋体" w:cs="宋体"/>
          <w:b/>
          <w:color w:val="auto"/>
          <w:szCs w:val="21"/>
          <w:highlight w:val="none"/>
        </w:rPr>
      </w:pPr>
    </w:p>
    <w:p>
      <w:pPr>
        <w:rPr>
          <w:rFonts w:ascii="宋体" w:hAnsi="宋体" w:eastAsia="宋体" w:cs="宋体"/>
          <w:b/>
          <w:color w:val="auto"/>
          <w:szCs w:val="21"/>
          <w:highlight w:val="none"/>
        </w:rPr>
      </w:pPr>
    </w:p>
    <w:p>
      <w:pPr>
        <w:spacing w:beforeLines="50" w:afterLines="50" w:line="700" w:lineRule="exact"/>
        <w:jc w:val="center"/>
        <w:rPr>
          <w:rFonts w:ascii="宋体" w:hAnsi="宋体" w:eastAsia="宋体" w:cs="宋体"/>
          <w:b/>
          <w:color w:val="auto"/>
          <w:sz w:val="60"/>
          <w:highlight w:val="none"/>
        </w:rPr>
      </w:pPr>
      <w:r>
        <w:rPr>
          <w:rFonts w:hint="eastAsia" w:ascii="宋体" w:hAnsi="宋体" w:eastAsia="宋体" w:cs="宋体"/>
          <w:b/>
          <w:color w:val="auto"/>
          <w:sz w:val="60"/>
          <w:highlight w:val="none"/>
        </w:rPr>
        <w:t>响应文件</w:t>
      </w:r>
    </w:p>
    <w:p>
      <w:pPr>
        <w:rPr>
          <w:rFonts w:ascii="宋体" w:hAnsi="宋体" w:eastAsia="宋体" w:cs="宋体"/>
          <w:b/>
          <w:color w:val="auto"/>
          <w:szCs w:val="21"/>
          <w:highlight w:val="none"/>
        </w:rPr>
      </w:pPr>
    </w:p>
    <w:p>
      <w:pPr>
        <w:rPr>
          <w:rFonts w:ascii="宋体" w:hAnsi="宋体" w:eastAsia="宋体" w:cs="宋体"/>
          <w:color w:val="auto"/>
          <w:szCs w:val="21"/>
          <w:highlight w:val="none"/>
        </w:rPr>
      </w:pPr>
    </w:p>
    <w:p>
      <w:pPr>
        <w:rPr>
          <w:rFonts w:ascii="宋体" w:hAnsi="宋体" w:eastAsia="宋体" w:cs="宋体"/>
          <w:color w:val="auto"/>
          <w:szCs w:val="21"/>
          <w:highlight w:val="none"/>
        </w:rPr>
      </w:pPr>
    </w:p>
    <w:p>
      <w:pPr>
        <w:rPr>
          <w:rFonts w:ascii="宋体" w:hAnsi="宋体" w:eastAsia="宋体" w:cs="宋体"/>
          <w:color w:val="auto"/>
          <w:szCs w:val="21"/>
          <w:highlight w:val="none"/>
        </w:rPr>
      </w:pPr>
    </w:p>
    <w:p>
      <w:pPr>
        <w:rPr>
          <w:rFonts w:ascii="宋体" w:hAnsi="宋体" w:eastAsia="宋体" w:cs="宋体"/>
          <w:color w:val="auto"/>
          <w:szCs w:val="21"/>
          <w:highlight w:val="none"/>
        </w:rPr>
      </w:pPr>
    </w:p>
    <w:p>
      <w:pPr>
        <w:rPr>
          <w:rFonts w:ascii="宋体" w:hAnsi="宋体" w:eastAsia="宋体" w:cs="宋体"/>
          <w:color w:val="auto"/>
          <w:szCs w:val="21"/>
          <w:highlight w:val="none"/>
        </w:rPr>
      </w:pPr>
    </w:p>
    <w:p>
      <w:pPr>
        <w:rPr>
          <w:rFonts w:ascii="宋体" w:hAnsi="宋体" w:eastAsia="宋体" w:cs="宋体"/>
          <w:color w:val="auto"/>
          <w:szCs w:val="21"/>
          <w:highlight w:val="none"/>
        </w:rPr>
      </w:pPr>
    </w:p>
    <w:p>
      <w:pPr>
        <w:rPr>
          <w:rFonts w:ascii="宋体" w:hAnsi="宋体" w:eastAsia="宋体" w:cs="宋体"/>
          <w:color w:val="auto"/>
          <w:szCs w:val="21"/>
          <w:highlight w:val="none"/>
        </w:rPr>
      </w:pPr>
    </w:p>
    <w:p>
      <w:pPr>
        <w:rPr>
          <w:rFonts w:ascii="宋体" w:hAnsi="宋体" w:eastAsia="宋体" w:cs="宋体"/>
          <w:color w:val="auto"/>
          <w:szCs w:val="21"/>
          <w:highlight w:val="none"/>
        </w:rPr>
      </w:pPr>
    </w:p>
    <w:p>
      <w:pPr>
        <w:rPr>
          <w:rFonts w:ascii="宋体" w:hAnsi="宋体" w:eastAsia="宋体" w:cs="宋体"/>
          <w:color w:val="auto"/>
          <w:szCs w:val="21"/>
          <w:highlight w:val="none"/>
        </w:rPr>
      </w:pPr>
    </w:p>
    <w:p>
      <w:pPr>
        <w:rPr>
          <w:rFonts w:ascii="宋体" w:hAnsi="宋体" w:eastAsia="宋体" w:cs="宋体"/>
          <w:color w:val="auto"/>
          <w:szCs w:val="21"/>
          <w:highlight w:val="none"/>
        </w:rPr>
      </w:pPr>
    </w:p>
    <w:p>
      <w:pPr>
        <w:rPr>
          <w:rFonts w:ascii="宋体" w:hAnsi="宋体" w:eastAsia="宋体" w:cs="宋体"/>
          <w:color w:val="auto"/>
          <w:szCs w:val="21"/>
          <w:highlight w:val="none"/>
        </w:rPr>
      </w:pPr>
    </w:p>
    <w:p>
      <w:pPr>
        <w:rPr>
          <w:rFonts w:ascii="宋体" w:hAnsi="宋体" w:eastAsia="宋体" w:cs="宋体"/>
          <w:color w:val="auto"/>
          <w:szCs w:val="21"/>
          <w:highlight w:val="none"/>
        </w:rPr>
      </w:pPr>
    </w:p>
    <w:p>
      <w:pPr>
        <w:rPr>
          <w:rFonts w:ascii="宋体" w:hAnsi="宋体" w:eastAsia="宋体" w:cs="宋体"/>
          <w:color w:val="auto"/>
          <w:szCs w:val="21"/>
          <w:highlight w:val="none"/>
        </w:rPr>
      </w:pPr>
    </w:p>
    <w:p>
      <w:pPr>
        <w:ind w:firstLine="1820" w:firstLineChars="650"/>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 xml:space="preserve">  供应商：（盖单位公章）</w:t>
      </w:r>
    </w:p>
    <w:p>
      <w:pPr>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法定代表人或其委托代理人：（签字或盖章）</w:t>
      </w:r>
    </w:p>
    <w:p>
      <w:pPr>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年    月     日</w:t>
      </w:r>
    </w:p>
    <w:p>
      <w:pPr>
        <w:pStyle w:val="7"/>
        <w:spacing w:before="0" w:line="360" w:lineRule="auto"/>
        <w:rPr>
          <w:rFonts w:ascii="宋体" w:hAnsi="宋体" w:eastAsia="宋体" w:cs="宋体"/>
          <w:bCs/>
          <w:color w:val="auto"/>
          <w:szCs w:val="24"/>
          <w:highlight w:val="none"/>
        </w:rPr>
      </w:pPr>
    </w:p>
    <w:p>
      <w:pPr>
        <w:rPr>
          <w:color w:val="auto"/>
          <w:highlight w:val="none"/>
        </w:rPr>
      </w:pPr>
    </w:p>
    <w:p>
      <w:pPr>
        <w:widowControl/>
        <w:jc w:val="left"/>
        <w:rPr>
          <w:rFonts w:ascii="宋体" w:hAnsi="宋体" w:eastAsia="宋体" w:cs="宋体"/>
          <w:color w:val="auto"/>
          <w:highlight w:val="none"/>
        </w:rPr>
      </w:pPr>
      <w:bookmarkStart w:id="92" w:name="_Toc388883679"/>
      <w:bookmarkStart w:id="93" w:name="_Toc450115354"/>
      <w:bookmarkStart w:id="94" w:name="_Toc25705"/>
      <w:bookmarkStart w:id="95" w:name="_Toc421524513"/>
    </w:p>
    <w:p>
      <w:pPr>
        <w:pStyle w:val="25"/>
        <w:rPr>
          <w:rFonts w:eastAsia="宋体"/>
          <w:color w:val="auto"/>
          <w:highlight w:val="none"/>
        </w:rPr>
      </w:pPr>
    </w:p>
    <w:p>
      <w:pPr>
        <w:pStyle w:val="4"/>
        <w:spacing w:line="240" w:lineRule="auto"/>
        <w:jc w:val="center"/>
        <w:rPr>
          <w:rFonts w:ascii="宋体" w:hAnsi="宋体" w:eastAsia="宋体" w:cs="宋体"/>
          <w:color w:val="auto"/>
          <w:highlight w:val="none"/>
        </w:rPr>
      </w:pPr>
      <w:r>
        <w:rPr>
          <w:rFonts w:hint="eastAsia" w:ascii="宋体" w:hAnsi="宋体" w:eastAsia="宋体" w:cs="宋体"/>
          <w:color w:val="auto"/>
          <w:highlight w:val="none"/>
        </w:rPr>
        <w:t>目  录</w:t>
      </w:r>
    </w:p>
    <w:p>
      <w:pPr>
        <w:spacing w:line="520" w:lineRule="exact"/>
        <w:ind w:firstLine="480" w:firstLineChars="200"/>
        <w:rPr>
          <w:rFonts w:ascii="宋体" w:hAnsi="宋体" w:eastAsia="宋体" w:cs="宋体"/>
          <w:color w:val="auto"/>
          <w:sz w:val="24"/>
          <w:highlight w:val="none"/>
        </w:rPr>
      </w:pPr>
      <w:bookmarkStart w:id="96" w:name="_Toc246997099"/>
      <w:bookmarkStart w:id="97" w:name="_Toc144974857"/>
      <w:bookmarkStart w:id="98" w:name="_Toc246996356"/>
      <w:bookmarkStart w:id="99" w:name="_Toc179632808"/>
      <w:bookmarkStart w:id="100" w:name="_Toc296602602"/>
      <w:bookmarkStart w:id="101" w:name="_Toc152045788"/>
      <w:bookmarkStart w:id="102" w:name="_Toc152042577"/>
      <w:bookmarkStart w:id="103" w:name="_Toc247085874"/>
      <w:r>
        <w:rPr>
          <w:rFonts w:hint="eastAsia" w:ascii="宋体" w:hAnsi="宋体" w:eastAsia="宋体" w:cs="宋体"/>
          <w:color w:val="auto"/>
          <w:sz w:val="24"/>
          <w:highlight w:val="none"/>
        </w:rPr>
        <w:t>1．法定代表人或授权代理人签署的报价函（见附件）</w:t>
      </w:r>
    </w:p>
    <w:p>
      <w:pPr>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2．法定代表人身份证明、授权委托书</w:t>
      </w:r>
    </w:p>
    <w:p>
      <w:pPr>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 报价一览表</w:t>
      </w:r>
    </w:p>
    <w:p>
      <w:pPr>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4．项目班子配备人员一览表</w:t>
      </w:r>
    </w:p>
    <w:p>
      <w:pPr>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5．资格审查资料</w:t>
      </w:r>
    </w:p>
    <w:p>
      <w:pPr>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5.1营业执照副本复印件；</w:t>
      </w:r>
    </w:p>
    <w:p>
      <w:pPr>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5.2组织机构代码证、税务登记证复印件；</w:t>
      </w:r>
    </w:p>
    <w:p>
      <w:pPr>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5.3法定代表人授权委托书、法定代表人身份证复印件、授权代理人的身份证明复印件；</w:t>
      </w:r>
    </w:p>
    <w:p>
      <w:pPr>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5.4竞争性磋商文件要求的其他资格材料；</w:t>
      </w:r>
    </w:p>
    <w:p>
      <w:pPr>
        <w:pStyle w:val="25"/>
        <w:rPr>
          <w:rFonts w:eastAsia="宋体"/>
          <w:color w:val="auto"/>
          <w:highlight w:val="none"/>
        </w:rPr>
      </w:pPr>
      <w:r>
        <w:rPr>
          <w:rFonts w:hint="eastAsia" w:eastAsia="宋体"/>
          <w:color w:val="auto"/>
          <w:highlight w:val="none"/>
        </w:rPr>
        <w:t>5.5近三年财务状况；</w:t>
      </w:r>
    </w:p>
    <w:p>
      <w:pPr>
        <w:pStyle w:val="25"/>
        <w:rPr>
          <w:rFonts w:eastAsia="宋体"/>
          <w:color w:val="auto"/>
          <w:highlight w:val="none"/>
        </w:rPr>
      </w:pPr>
      <w:r>
        <w:rPr>
          <w:rFonts w:hint="eastAsia" w:eastAsia="宋体"/>
          <w:color w:val="auto"/>
          <w:highlight w:val="none"/>
        </w:rPr>
        <w:t>5.6同类项目业绩一览表；</w:t>
      </w:r>
    </w:p>
    <w:p>
      <w:pPr>
        <w:pStyle w:val="25"/>
        <w:rPr>
          <w:rFonts w:eastAsia="宋体"/>
          <w:color w:val="auto"/>
          <w:highlight w:val="none"/>
        </w:rPr>
      </w:pPr>
      <w:r>
        <w:rPr>
          <w:rFonts w:hint="eastAsia" w:eastAsia="宋体"/>
          <w:color w:val="auto"/>
          <w:highlight w:val="none"/>
        </w:rPr>
        <w:t>5.7近三年无重大违法记录；</w:t>
      </w:r>
    </w:p>
    <w:p>
      <w:pPr>
        <w:pStyle w:val="25"/>
        <w:rPr>
          <w:rFonts w:eastAsia="宋体"/>
          <w:color w:val="auto"/>
          <w:highlight w:val="none"/>
        </w:rPr>
      </w:pPr>
      <w:r>
        <w:rPr>
          <w:rFonts w:hint="eastAsia" w:eastAsia="宋体"/>
          <w:color w:val="auto"/>
          <w:highlight w:val="none"/>
        </w:rPr>
        <w:t>5.8其他资格审查资料。</w:t>
      </w:r>
    </w:p>
    <w:p>
      <w:pPr>
        <w:pStyle w:val="25"/>
        <w:rPr>
          <w:rFonts w:eastAsia="宋体"/>
          <w:color w:val="auto"/>
          <w:highlight w:val="none"/>
        </w:rPr>
      </w:pPr>
      <w:r>
        <w:rPr>
          <w:rFonts w:hint="eastAsia" w:eastAsia="宋体"/>
          <w:color w:val="auto"/>
          <w:highlight w:val="none"/>
        </w:rPr>
        <w:t>6.供应商其他信誉。</w:t>
      </w:r>
    </w:p>
    <w:p>
      <w:pPr>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7．技术部分</w:t>
      </w:r>
    </w:p>
    <w:p>
      <w:pPr>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7.1施工组织设计；</w:t>
      </w:r>
    </w:p>
    <w:p>
      <w:pPr>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7.2服务承诺及优惠条款；</w:t>
      </w:r>
    </w:p>
    <w:p>
      <w:pPr>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7.3供应商认为需说明的其他内容。</w:t>
      </w:r>
    </w:p>
    <w:p>
      <w:pPr>
        <w:spacing w:line="540" w:lineRule="exact"/>
        <w:jc w:val="center"/>
        <w:rPr>
          <w:rFonts w:ascii="宋体" w:hAnsi="宋体" w:eastAsia="宋体" w:cs="宋体"/>
          <w:b/>
          <w:color w:val="auto"/>
          <w:highlight w:val="none"/>
        </w:rPr>
      </w:pPr>
      <w:r>
        <w:rPr>
          <w:rFonts w:hint="eastAsia" w:ascii="宋体" w:hAnsi="宋体" w:eastAsia="宋体" w:cs="宋体"/>
          <w:b/>
          <w:color w:val="auto"/>
          <w:highlight w:val="none"/>
        </w:rPr>
        <w:br w:type="page"/>
      </w:r>
    </w:p>
    <w:p>
      <w:pPr>
        <w:spacing w:line="540" w:lineRule="exact"/>
        <w:jc w:val="left"/>
        <w:rPr>
          <w:rFonts w:ascii="宋体" w:hAnsi="宋体" w:eastAsia="宋体" w:cs="宋体"/>
          <w:b/>
          <w:bCs/>
          <w:color w:val="auto"/>
          <w:sz w:val="32"/>
          <w:szCs w:val="32"/>
          <w:highlight w:val="none"/>
        </w:rPr>
      </w:pPr>
      <w:r>
        <w:rPr>
          <w:rFonts w:hint="eastAsia" w:ascii="宋体" w:hAnsi="宋体" w:eastAsia="宋体" w:cs="宋体"/>
          <w:b/>
          <w:bCs/>
          <w:color w:val="auto"/>
          <w:sz w:val="28"/>
          <w:szCs w:val="28"/>
          <w:highlight w:val="none"/>
        </w:rPr>
        <w:t>附件：</w:t>
      </w:r>
    </w:p>
    <w:p>
      <w:pPr>
        <w:spacing w:line="540" w:lineRule="exact"/>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一、投标函</w:t>
      </w:r>
      <w:bookmarkEnd w:id="96"/>
      <w:bookmarkEnd w:id="97"/>
      <w:bookmarkEnd w:id="98"/>
      <w:bookmarkEnd w:id="99"/>
      <w:bookmarkEnd w:id="100"/>
      <w:bookmarkEnd w:id="101"/>
      <w:bookmarkEnd w:id="102"/>
      <w:bookmarkEnd w:id="103"/>
    </w:p>
    <w:p>
      <w:pPr>
        <w:spacing w:line="540" w:lineRule="exact"/>
        <w:rPr>
          <w:rFonts w:ascii="宋体" w:hAnsi="宋体" w:eastAsia="宋体" w:cs="宋体"/>
          <w:color w:val="auto"/>
          <w:sz w:val="24"/>
          <w:highlight w:val="none"/>
        </w:rPr>
      </w:pPr>
      <w:bookmarkStart w:id="104" w:name="_Toc417408938"/>
      <w:bookmarkStart w:id="105" w:name="_Toc448409580"/>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经研究，我们决定参加项目编号为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采购项目的竞争性磋商活动并提交响应文件，为此，我方郑重声明以下诸点，并负法律责任。</w:t>
      </w:r>
    </w:p>
    <w:p>
      <w:pPr>
        <w:pStyle w:val="9"/>
        <w:snapToGrid w:val="0"/>
        <w:spacing w:line="360" w:lineRule="auto"/>
        <w:ind w:firstLine="482"/>
        <w:rPr>
          <w:rFonts w:eastAsia="宋体" w:cs="宋体"/>
          <w:color w:val="auto"/>
          <w:sz w:val="24"/>
          <w:highlight w:val="none"/>
        </w:rPr>
      </w:pPr>
      <w:r>
        <w:rPr>
          <w:rFonts w:hint="eastAsia" w:eastAsia="宋体" w:cs="宋体"/>
          <w:color w:val="auto"/>
          <w:sz w:val="24"/>
          <w:highlight w:val="none"/>
        </w:rPr>
        <w:t>1、我方提交的响应文件，正本一份，副本</w:t>
      </w:r>
      <w:r>
        <w:rPr>
          <w:rFonts w:hint="eastAsia" w:eastAsia="宋体" w:cs="宋体"/>
          <w:color w:val="auto"/>
          <w:sz w:val="24"/>
          <w:highlight w:val="none"/>
          <w:u w:val="single"/>
        </w:rPr>
        <w:t>三</w:t>
      </w:r>
      <w:r>
        <w:rPr>
          <w:rFonts w:hint="eastAsia" w:eastAsia="宋体" w:cs="宋体"/>
          <w:color w:val="auto"/>
          <w:sz w:val="24"/>
          <w:highlight w:val="none"/>
        </w:rPr>
        <w:t>份。</w:t>
      </w:r>
    </w:p>
    <w:p>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2、如果我方的响应文件被接受，我们将履行竞争性磋商文件中规定的每一项要求，并按我方响应文件中的承诺按期、保质、保量完成项目的实施。</w:t>
      </w:r>
    </w:p>
    <w:p>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3、我方理解，最低报价不是中标的唯一条件，同时认可本次竞争性磋商文件中磋商小组选择成交候选供应商的方式和权利。</w:t>
      </w:r>
    </w:p>
    <w:p>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4、我方承诺，投标文件不存在复制、粘贴竞争性磋商文件主要规格技术参数的情况。</w:t>
      </w:r>
    </w:p>
    <w:p>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5、我方已详细检查所有响应文件、附件以及所提供的参考文件，有模糊和误解产生的一切后果，由我方自负。</w:t>
      </w:r>
    </w:p>
    <w:p>
      <w:pPr>
        <w:pStyle w:val="9"/>
        <w:snapToGrid w:val="0"/>
        <w:spacing w:line="360" w:lineRule="auto"/>
        <w:ind w:firstLine="482"/>
        <w:rPr>
          <w:rFonts w:eastAsia="宋体" w:cs="宋体"/>
          <w:color w:val="auto"/>
          <w:kern w:val="2"/>
          <w:sz w:val="24"/>
          <w:highlight w:val="none"/>
        </w:rPr>
      </w:pPr>
      <w:r>
        <w:rPr>
          <w:rFonts w:hint="eastAsia" w:eastAsia="宋体" w:cs="宋体"/>
          <w:color w:val="auto"/>
          <w:kern w:val="2"/>
          <w:sz w:val="24"/>
          <w:highlight w:val="none"/>
        </w:rPr>
        <w:t>6、我方愿按《中华人民共和国合同法》履行自己的全部责任。</w:t>
      </w:r>
    </w:p>
    <w:p>
      <w:pPr>
        <w:pStyle w:val="9"/>
        <w:snapToGrid w:val="0"/>
        <w:spacing w:line="360" w:lineRule="auto"/>
        <w:ind w:firstLine="482"/>
        <w:rPr>
          <w:rFonts w:eastAsia="宋体" w:cs="宋体"/>
          <w:color w:val="auto"/>
          <w:kern w:val="2"/>
          <w:sz w:val="24"/>
          <w:highlight w:val="none"/>
        </w:rPr>
      </w:pPr>
      <w:r>
        <w:rPr>
          <w:rFonts w:hint="eastAsia" w:eastAsia="宋体" w:cs="宋体"/>
          <w:color w:val="auto"/>
          <w:kern w:val="2"/>
          <w:sz w:val="24"/>
          <w:highlight w:val="none"/>
        </w:rPr>
        <w:t>7、我方的响应文件自公开报价之日起有效期为90日历日。</w:t>
      </w:r>
    </w:p>
    <w:p>
      <w:pPr>
        <w:pStyle w:val="9"/>
        <w:snapToGrid w:val="0"/>
        <w:spacing w:line="360" w:lineRule="auto"/>
        <w:ind w:firstLine="482"/>
        <w:rPr>
          <w:rFonts w:eastAsia="宋体" w:cs="宋体"/>
          <w:color w:val="auto"/>
          <w:kern w:val="2"/>
          <w:sz w:val="24"/>
          <w:highlight w:val="none"/>
        </w:rPr>
      </w:pPr>
      <w:r>
        <w:rPr>
          <w:rFonts w:hint="eastAsia" w:eastAsia="宋体" w:cs="宋体"/>
          <w:color w:val="auto"/>
          <w:kern w:val="2"/>
          <w:sz w:val="24"/>
          <w:highlight w:val="none"/>
        </w:rPr>
        <w:t>8、我方若未成为成交供应商，贵机构有权不做解释。</w:t>
      </w:r>
    </w:p>
    <w:p>
      <w:pPr>
        <w:pStyle w:val="9"/>
        <w:snapToGrid w:val="0"/>
        <w:spacing w:line="360" w:lineRule="auto"/>
        <w:ind w:left="571" w:leftChars="272" w:firstLine="382"/>
        <w:rPr>
          <w:rFonts w:eastAsia="宋体" w:cs="宋体"/>
          <w:color w:val="auto"/>
          <w:kern w:val="2"/>
          <w:sz w:val="24"/>
          <w:highlight w:val="none"/>
        </w:rPr>
      </w:pPr>
      <w:r>
        <w:rPr>
          <w:rFonts w:hint="eastAsia" w:eastAsia="宋体" w:cs="宋体"/>
          <w:color w:val="auto"/>
          <w:kern w:val="2"/>
          <w:sz w:val="24"/>
          <w:highlight w:val="none"/>
        </w:rPr>
        <w:t>供应商单位全称（公章）：</w:t>
      </w:r>
    </w:p>
    <w:p>
      <w:pPr>
        <w:pStyle w:val="9"/>
        <w:snapToGrid w:val="0"/>
        <w:spacing w:line="360" w:lineRule="auto"/>
        <w:ind w:left="571" w:leftChars="272" w:firstLine="382"/>
        <w:rPr>
          <w:rFonts w:eastAsia="宋体" w:cs="宋体"/>
          <w:color w:val="auto"/>
          <w:kern w:val="2"/>
          <w:sz w:val="24"/>
          <w:highlight w:val="none"/>
        </w:rPr>
      </w:pPr>
      <w:r>
        <w:rPr>
          <w:rFonts w:hint="eastAsia" w:eastAsia="宋体" w:cs="宋体"/>
          <w:color w:val="auto"/>
          <w:kern w:val="2"/>
          <w:sz w:val="24"/>
          <w:highlight w:val="none"/>
        </w:rPr>
        <w:t>法定代表人或其授权代理人签字：</w:t>
      </w:r>
    </w:p>
    <w:p>
      <w:pPr>
        <w:pStyle w:val="9"/>
        <w:snapToGrid w:val="0"/>
        <w:spacing w:line="360" w:lineRule="auto"/>
        <w:ind w:left="571" w:leftChars="272"/>
        <w:rPr>
          <w:rFonts w:eastAsia="宋体" w:cs="宋体"/>
          <w:color w:val="auto"/>
          <w:kern w:val="2"/>
          <w:sz w:val="24"/>
          <w:highlight w:val="none"/>
        </w:rPr>
      </w:pPr>
      <w:r>
        <w:rPr>
          <w:rFonts w:hint="eastAsia" w:eastAsia="宋体" w:cs="宋体"/>
          <w:color w:val="auto"/>
          <w:kern w:val="2"/>
          <w:sz w:val="24"/>
          <w:highlight w:val="none"/>
        </w:rPr>
        <w:t xml:space="preserve">   地    址：</w:t>
      </w:r>
    </w:p>
    <w:p>
      <w:pPr>
        <w:pStyle w:val="9"/>
        <w:snapToGrid w:val="0"/>
        <w:spacing w:line="360" w:lineRule="auto"/>
        <w:ind w:left="571" w:leftChars="272"/>
        <w:rPr>
          <w:rFonts w:eastAsia="宋体" w:cs="宋体"/>
          <w:color w:val="auto"/>
          <w:kern w:val="2"/>
          <w:sz w:val="24"/>
          <w:highlight w:val="none"/>
        </w:rPr>
      </w:pPr>
      <w:r>
        <w:rPr>
          <w:rFonts w:hint="eastAsia" w:eastAsia="宋体" w:cs="宋体"/>
          <w:color w:val="auto"/>
          <w:kern w:val="2"/>
          <w:sz w:val="24"/>
          <w:highlight w:val="none"/>
        </w:rPr>
        <w:t xml:space="preserve">   邮政编码：</w:t>
      </w:r>
    </w:p>
    <w:p>
      <w:pPr>
        <w:pStyle w:val="9"/>
        <w:snapToGrid w:val="0"/>
        <w:spacing w:line="360" w:lineRule="auto"/>
        <w:ind w:left="571" w:leftChars="272"/>
        <w:rPr>
          <w:rFonts w:eastAsia="宋体" w:cs="宋体"/>
          <w:color w:val="auto"/>
          <w:kern w:val="2"/>
          <w:sz w:val="24"/>
          <w:highlight w:val="none"/>
        </w:rPr>
      </w:pPr>
      <w:r>
        <w:rPr>
          <w:rFonts w:hint="eastAsia" w:eastAsia="宋体" w:cs="宋体"/>
          <w:color w:val="auto"/>
          <w:kern w:val="2"/>
          <w:sz w:val="24"/>
          <w:highlight w:val="none"/>
        </w:rPr>
        <w:t xml:space="preserve">   电    话：</w:t>
      </w:r>
    </w:p>
    <w:p>
      <w:pPr>
        <w:pStyle w:val="9"/>
        <w:snapToGrid w:val="0"/>
        <w:spacing w:line="360" w:lineRule="auto"/>
        <w:ind w:left="571" w:leftChars="272"/>
        <w:rPr>
          <w:rFonts w:eastAsia="宋体" w:cs="宋体"/>
          <w:color w:val="auto"/>
          <w:kern w:val="2"/>
          <w:sz w:val="24"/>
          <w:highlight w:val="none"/>
        </w:rPr>
      </w:pPr>
      <w:r>
        <w:rPr>
          <w:rFonts w:hint="eastAsia" w:eastAsia="宋体" w:cs="宋体"/>
          <w:color w:val="auto"/>
          <w:kern w:val="2"/>
          <w:sz w:val="24"/>
          <w:highlight w:val="none"/>
        </w:rPr>
        <w:t xml:space="preserve">   传    真：</w:t>
      </w:r>
    </w:p>
    <w:p>
      <w:pPr>
        <w:pStyle w:val="9"/>
        <w:snapToGrid w:val="0"/>
        <w:spacing w:line="360" w:lineRule="auto"/>
        <w:ind w:left="6660" w:firstLine="480"/>
        <w:rPr>
          <w:rFonts w:eastAsia="宋体" w:cs="宋体"/>
          <w:color w:val="auto"/>
          <w:kern w:val="2"/>
          <w:sz w:val="24"/>
          <w:highlight w:val="none"/>
        </w:rPr>
      </w:pPr>
      <w:r>
        <w:rPr>
          <w:rFonts w:hint="eastAsia" w:eastAsia="宋体" w:cs="宋体"/>
          <w:color w:val="auto"/>
          <w:kern w:val="2"/>
          <w:sz w:val="24"/>
          <w:highlight w:val="none"/>
        </w:rPr>
        <w:t>年   月   日</w:t>
      </w:r>
    </w:p>
    <w:bookmarkEnd w:id="104"/>
    <w:bookmarkEnd w:id="105"/>
    <w:p>
      <w:pPr>
        <w:pStyle w:val="4"/>
        <w:jc w:val="center"/>
        <w:rPr>
          <w:rFonts w:ascii="宋体" w:hAnsi="宋体" w:eastAsia="宋体" w:cs="宋体"/>
          <w:color w:val="auto"/>
          <w:highlight w:val="none"/>
        </w:rPr>
      </w:pPr>
      <w:bookmarkStart w:id="106" w:name="_Toc247085877"/>
      <w:bookmarkStart w:id="107" w:name="_Toc296602605"/>
      <w:bookmarkStart w:id="108" w:name="_Toc152042580"/>
      <w:bookmarkStart w:id="109" w:name="_Toc144974860"/>
      <w:bookmarkStart w:id="110" w:name="_Toc246997102"/>
      <w:bookmarkStart w:id="111" w:name="_Toc152045791"/>
      <w:bookmarkStart w:id="112" w:name="_Toc246996359"/>
      <w:bookmarkStart w:id="113" w:name="_Toc179632811"/>
    </w:p>
    <w:p>
      <w:pPr>
        <w:pStyle w:val="4"/>
        <w:jc w:val="center"/>
        <w:rPr>
          <w:rFonts w:ascii="宋体" w:hAnsi="宋体" w:eastAsia="宋体" w:cs="宋体"/>
          <w:color w:val="auto"/>
          <w:sz w:val="20"/>
          <w:highlight w:val="none"/>
        </w:rPr>
      </w:pPr>
      <w:r>
        <w:rPr>
          <w:rFonts w:hint="eastAsia" w:ascii="宋体" w:hAnsi="宋体" w:eastAsia="宋体" w:cs="宋体"/>
          <w:color w:val="auto"/>
          <w:highlight w:val="none"/>
        </w:rPr>
        <w:t>二、法定代表人身份证明</w:t>
      </w:r>
      <w:bookmarkEnd w:id="106"/>
      <w:bookmarkEnd w:id="107"/>
      <w:bookmarkEnd w:id="108"/>
      <w:bookmarkEnd w:id="109"/>
      <w:bookmarkEnd w:id="110"/>
      <w:bookmarkEnd w:id="111"/>
      <w:bookmarkEnd w:id="112"/>
      <w:bookmarkEnd w:id="113"/>
    </w:p>
    <w:p>
      <w:pPr>
        <w:spacing w:line="440" w:lineRule="exact"/>
        <w:rPr>
          <w:rFonts w:ascii="宋体" w:hAnsi="宋体" w:eastAsia="宋体" w:cs="宋体"/>
          <w:color w:val="auto"/>
          <w:szCs w:val="21"/>
          <w:highlight w:val="none"/>
        </w:rPr>
      </w:pPr>
    </w:p>
    <w:p>
      <w:pPr>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单位性质：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xml:space="preserve">                                   </w:t>
      </w:r>
    </w:p>
    <w:p>
      <w:pPr>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成立时间：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经营期限：</w:t>
      </w:r>
      <w:r>
        <w:rPr>
          <w:rFonts w:hint="eastAsia" w:ascii="宋体" w:hAnsi="宋体" w:eastAsia="宋体" w:cs="宋体"/>
          <w:color w:val="auto"/>
          <w:sz w:val="24"/>
          <w:highlight w:val="none"/>
          <w:u w:val="single"/>
        </w:rPr>
        <w:t xml:space="preserve">                               </w:t>
      </w:r>
    </w:p>
    <w:p>
      <w:pPr>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姓名：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w:t>
      </w:r>
      <w:r>
        <w:rPr>
          <w:rFonts w:hint="eastAsia" w:ascii="宋体" w:hAnsi="宋体" w:eastAsia="宋体" w:cs="宋体"/>
          <w:color w:val="auto"/>
          <w:sz w:val="24"/>
          <w:highlight w:val="none"/>
          <w:u w:val="single"/>
        </w:rPr>
        <w:t xml:space="preserve">        </w:t>
      </w:r>
    </w:p>
    <w:p>
      <w:pPr>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（名称）的法定代表人。</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特此证明。</w:t>
      </w:r>
    </w:p>
    <w:p>
      <w:pPr>
        <w:spacing w:line="440" w:lineRule="exact"/>
        <w:rPr>
          <w:rFonts w:ascii="宋体" w:hAnsi="宋体" w:eastAsia="宋体" w:cs="宋体"/>
          <w:color w:val="auto"/>
          <w:sz w:val="24"/>
          <w:highlight w:val="none"/>
        </w:rPr>
      </w:pPr>
    </w:p>
    <w:p>
      <w:pPr>
        <w:spacing w:line="440" w:lineRule="exact"/>
        <w:rPr>
          <w:rFonts w:ascii="宋体" w:hAnsi="宋体" w:eastAsia="宋体" w:cs="宋体"/>
          <w:color w:val="auto"/>
          <w:sz w:val="24"/>
          <w:highlight w:val="none"/>
        </w:rPr>
      </w:pPr>
    </w:p>
    <w:p>
      <w:pPr>
        <w:wordWrap w:val="0"/>
        <w:spacing w:line="440" w:lineRule="exact"/>
        <w:jc w:val="right"/>
        <w:rPr>
          <w:rFonts w:ascii="宋体" w:hAnsi="宋体" w:eastAsia="宋体" w:cs="宋体"/>
          <w:color w:val="auto"/>
          <w:sz w:val="24"/>
          <w:highlight w:val="none"/>
        </w:rPr>
      </w:pPr>
      <w:r>
        <w:rPr>
          <w:rFonts w:hint="eastAsia" w:ascii="宋体" w:hAnsi="宋体" w:eastAsia="宋体" w:cs="宋体"/>
          <w:color w:val="auto"/>
          <w:sz w:val="24"/>
          <w:highlight w:val="none"/>
        </w:rPr>
        <w:t xml:space="preserve">                          供应商：</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spacing w:line="440" w:lineRule="exact"/>
        <w:rPr>
          <w:rFonts w:ascii="宋体" w:hAnsi="宋体" w:eastAsia="宋体" w:cs="宋体"/>
          <w:color w:val="auto"/>
          <w:sz w:val="20"/>
          <w:highlight w:val="none"/>
        </w:rPr>
      </w:pPr>
    </w:p>
    <w:p>
      <w:pPr>
        <w:spacing w:line="440" w:lineRule="exact"/>
        <w:rPr>
          <w:rFonts w:ascii="宋体" w:hAnsi="宋体" w:eastAsia="宋体" w:cs="宋体"/>
          <w:color w:val="auto"/>
          <w:sz w:val="20"/>
          <w:highlight w:val="none"/>
        </w:rPr>
      </w:pPr>
    </w:p>
    <w:p>
      <w:pPr>
        <w:spacing w:line="440" w:lineRule="exact"/>
        <w:rPr>
          <w:rFonts w:ascii="宋体" w:hAnsi="宋体" w:eastAsia="宋体" w:cs="宋体"/>
          <w:color w:val="auto"/>
          <w:sz w:val="20"/>
          <w:highlight w:val="none"/>
        </w:rPr>
      </w:pPr>
    </w:p>
    <w:p>
      <w:pPr>
        <w:spacing w:line="440" w:lineRule="exact"/>
        <w:rPr>
          <w:rFonts w:ascii="宋体" w:hAnsi="宋体" w:eastAsia="宋体" w:cs="宋体"/>
          <w:color w:val="auto"/>
          <w:sz w:val="20"/>
          <w:highlight w:val="none"/>
        </w:rPr>
      </w:pPr>
    </w:p>
    <w:p>
      <w:pPr>
        <w:spacing w:line="440" w:lineRule="exact"/>
        <w:rPr>
          <w:rFonts w:ascii="宋体" w:hAnsi="宋体" w:eastAsia="宋体" w:cs="宋体"/>
          <w:color w:val="auto"/>
          <w:sz w:val="20"/>
          <w:highlight w:val="none"/>
        </w:rPr>
      </w:pPr>
    </w:p>
    <w:p>
      <w:pPr>
        <w:spacing w:line="440" w:lineRule="exact"/>
        <w:rPr>
          <w:rFonts w:ascii="宋体" w:hAnsi="宋体" w:eastAsia="宋体" w:cs="宋体"/>
          <w:color w:val="auto"/>
          <w:sz w:val="20"/>
          <w:highlight w:val="none"/>
        </w:rPr>
      </w:pPr>
    </w:p>
    <w:p>
      <w:pPr>
        <w:spacing w:line="440" w:lineRule="exact"/>
        <w:rPr>
          <w:rFonts w:ascii="宋体" w:hAnsi="宋体" w:eastAsia="宋体" w:cs="宋体"/>
          <w:color w:val="auto"/>
          <w:sz w:val="20"/>
          <w:highlight w:val="none"/>
        </w:rPr>
      </w:pPr>
    </w:p>
    <w:p>
      <w:pPr>
        <w:spacing w:line="440" w:lineRule="exact"/>
        <w:rPr>
          <w:rFonts w:ascii="宋体" w:hAnsi="宋体" w:eastAsia="宋体" w:cs="宋体"/>
          <w:color w:val="auto"/>
          <w:sz w:val="20"/>
          <w:highlight w:val="none"/>
        </w:rPr>
      </w:pPr>
    </w:p>
    <w:p>
      <w:pPr>
        <w:spacing w:line="440" w:lineRule="exact"/>
        <w:rPr>
          <w:rFonts w:ascii="宋体" w:hAnsi="宋体" w:eastAsia="宋体" w:cs="宋体"/>
          <w:color w:val="auto"/>
          <w:sz w:val="20"/>
          <w:highlight w:val="none"/>
        </w:rPr>
      </w:pPr>
    </w:p>
    <w:p>
      <w:pPr>
        <w:spacing w:line="440" w:lineRule="exact"/>
        <w:rPr>
          <w:rFonts w:ascii="宋体" w:hAnsi="宋体" w:eastAsia="宋体" w:cs="宋体"/>
          <w:color w:val="auto"/>
          <w:sz w:val="20"/>
          <w:highlight w:val="none"/>
        </w:rPr>
      </w:pPr>
    </w:p>
    <w:p>
      <w:pPr>
        <w:spacing w:line="440" w:lineRule="exact"/>
        <w:rPr>
          <w:rFonts w:ascii="宋体" w:hAnsi="宋体" w:eastAsia="宋体" w:cs="宋体"/>
          <w:color w:val="auto"/>
          <w:sz w:val="20"/>
          <w:highlight w:val="none"/>
        </w:rPr>
      </w:pPr>
    </w:p>
    <w:p>
      <w:pPr>
        <w:spacing w:line="440" w:lineRule="exact"/>
        <w:rPr>
          <w:rFonts w:ascii="宋体" w:hAnsi="宋体" w:eastAsia="宋体" w:cs="宋体"/>
          <w:color w:val="auto"/>
          <w:sz w:val="20"/>
          <w:highlight w:val="none"/>
        </w:rPr>
      </w:pPr>
    </w:p>
    <w:p>
      <w:pPr>
        <w:pStyle w:val="25"/>
        <w:rPr>
          <w:rFonts w:eastAsia="宋体"/>
          <w:color w:val="auto"/>
          <w:highlight w:val="none"/>
        </w:rPr>
      </w:pPr>
    </w:p>
    <w:p>
      <w:pPr>
        <w:spacing w:line="440" w:lineRule="exact"/>
        <w:rPr>
          <w:rFonts w:ascii="宋体" w:hAnsi="宋体" w:eastAsia="宋体" w:cs="宋体"/>
          <w:color w:val="auto"/>
          <w:sz w:val="20"/>
          <w:highlight w:val="none"/>
        </w:rPr>
      </w:pPr>
    </w:p>
    <w:p>
      <w:pPr>
        <w:pStyle w:val="4"/>
        <w:jc w:val="center"/>
        <w:rPr>
          <w:rFonts w:ascii="宋体" w:hAnsi="宋体" w:eastAsia="宋体" w:cs="宋体"/>
          <w:color w:val="auto"/>
          <w:highlight w:val="none"/>
        </w:rPr>
      </w:pPr>
      <w:bookmarkStart w:id="114" w:name="_Toc152042581"/>
      <w:bookmarkStart w:id="115" w:name="_Toc246996360"/>
      <w:bookmarkStart w:id="116" w:name="_Toc247085878"/>
      <w:bookmarkStart w:id="117" w:name="_Toc296602606"/>
      <w:bookmarkStart w:id="118" w:name="_Toc152045792"/>
      <w:bookmarkStart w:id="119" w:name="_Toc144974861"/>
      <w:bookmarkStart w:id="120" w:name="_Toc179632812"/>
      <w:bookmarkStart w:id="121" w:name="_Toc246997103"/>
      <w:r>
        <w:rPr>
          <w:rFonts w:hint="eastAsia" w:ascii="宋体" w:hAnsi="宋体" w:eastAsia="宋体" w:cs="宋体"/>
          <w:color w:val="auto"/>
          <w:highlight w:val="none"/>
        </w:rPr>
        <w:t>授权委托书</w:t>
      </w:r>
      <w:bookmarkEnd w:id="114"/>
      <w:bookmarkEnd w:id="115"/>
      <w:bookmarkEnd w:id="116"/>
      <w:bookmarkEnd w:id="117"/>
      <w:bookmarkEnd w:id="118"/>
      <w:bookmarkEnd w:id="119"/>
      <w:bookmarkEnd w:id="120"/>
      <w:bookmarkEnd w:id="121"/>
    </w:p>
    <w:p>
      <w:pPr>
        <w:spacing w:line="440" w:lineRule="exact"/>
        <w:rPr>
          <w:rFonts w:ascii="宋体" w:hAnsi="宋体" w:eastAsia="宋体" w:cs="宋体"/>
          <w:color w:val="auto"/>
          <w:szCs w:val="21"/>
          <w:highlight w:val="none"/>
        </w:rPr>
      </w:pPr>
    </w:p>
    <w:p>
      <w:pPr>
        <w:topLinePunct/>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本人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（名称）的法定代表人，现委托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（姓名）为我方代理人。代理人根据授权，以我方名义签署、澄清、说明、补正、递交、撤回、修改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（项目名称）响应文件、签订合同和处理有关事宜，其法律后果由我方承担。</w:t>
      </w:r>
    </w:p>
    <w:p>
      <w:pPr>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    委托期限：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代理人无转委托权。</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附：法定代表人身份证明、授权代表身份证复印件；</w:t>
      </w:r>
    </w:p>
    <w:p>
      <w:pPr>
        <w:spacing w:line="440" w:lineRule="exact"/>
        <w:rPr>
          <w:rFonts w:ascii="宋体" w:hAnsi="宋体" w:eastAsia="宋体" w:cs="宋体"/>
          <w:color w:val="auto"/>
          <w:sz w:val="24"/>
          <w:highlight w:val="none"/>
        </w:rPr>
      </w:pPr>
    </w:p>
    <w:p>
      <w:pPr>
        <w:spacing w:line="440" w:lineRule="exact"/>
        <w:jc w:val="right"/>
        <w:rPr>
          <w:rFonts w:ascii="宋体" w:hAnsi="宋体" w:eastAsia="宋体" w:cs="宋体"/>
          <w:color w:val="auto"/>
          <w:sz w:val="24"/>
          <w:highlight w:val="none"/>
        </w:rPr>
      </w:pPr>
    </w:p>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 xml:space="preserve">                                 供  应  商：</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pPr>
        <w:spacing w:line="440" w:lineRule="exact"/>
        <w:jc w:val="right"/>
        <w:rPr>
          <w:rFonts w:ascii="宋体" w:hAnsi="宋体" w:eastAsia="宋体" w:cs="宋体"/>
          <w:color w:val="auto"/>
          <w:sz w:val="24"/>
          <w:highlight w:val="none"/>
        </w:rPr>
      </w:pPr>
    </w:p>
    <w:p>
      <w:pPr>
        <w:spacing w:line="440" w:lineRule="exact"/>
        <w:jc w:val="right"/>
        <w:rPr>
          <w:rFonts w:ascii="宋体" w:hAnsi="宋体" w:eastAsia="宋体" w:cs="宋体"/>
          <w:color w:val="auto"/>
          <w:sz w:val="24"/>
          <w:highlight w:val="none"/>
        </w:rPr>
      </w:pPr>
      <w:r>
        <w:rPr>
          <w:rFonts w:hint="eastAsia" w:ascii="宋体" w:hAnsi="宋体" w:eastAsia="宋体" w:cs="宋体"/>
          <w:color w:val="auto"/>
          <w:sz w:val="24"/>
          <w:highlight w:val="none"/>
        </w:rPr>
        <w:t xml:space="preserve">  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（签字并盖章）</w:t>
      </w:r>
    </w:p>
    <w:p>
      <w:pPr>
        <w:spacing w:line="440" w:lineRule="exact"/>
        <w:jc w:val="right"/>
        <w:rPr>
          <w:rFonts w:ascii="宋体" w:hAnsi="宋体" w:eastAsia="宋体" w:cs="宋体"/>
          <w:color w:val="auto"/>
          <w:sz w:val="24"/>
          <w:highlight w:val="none"/>
        </w:rPr>
      </w:pPr>
    </w:p>
    <w:p>
      <w:pPr>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                                    身份证号码：</w:t>
      </w:r>
      <w:r>
        <w:rPr>
          <w:rFonts w:hint="eastAsia" w:ascii="宋体" w:hAnsi="宋体" w:eastAsia="宋体" w:cs="宋体"/>
          <w:color w:val="auto"/>
          <w:sz w:val="24"/>
          <w:highlight w:val="none"/>
          <w:u w:val="single"/>
        </w:rPr>
        <w:t xml:space="preserve">                                     </w:t>
      </w:r>
    </w:p>
    <w:p>
      <w:pPr>
        <w:spacing w:line="440" w:lineRule="exact"/>
        <w:jc w:val="right"/>
        <w:rPr>
          <w:rFonts w:ascii="宋体" w:hAnsi="宋体" w:eastAsia="宋体" w:cs="宋体"/>
          <w:color w:val="auto"/>
          <w:sz w:val="24"/>
          <w:highlight w:val="none"/>
        </w:rPr>
      </w:pPr>
    </w:p>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 xml:space="preserve">                            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（签字） </w:t>
      </w:r>
    </w:p>
    <w:p>
      <w:pPr>
        <w:spacing w:line="440" w:lineRule="exact"/>
        <w:jc w:val="right"/>
        <w:rPr>
          <w:rFonts w:ascii="宋体" w:hAnsi="宋体" w:eastAsia="宋体" w:cs="宋体"/>
          <w:color w:val="auto"/>
          <w:sz w:val="24"/>
          <w:highlight w:val="none"/>
        </w:rPr>
      </w:pPr>
    </w:p>
    <w:p>
      <w:pPr>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                                    身份证号码：</w:t>
      </w:r>
      <w:r>
        <w:rPr>
          <w:rFonts w:hint="eastAsia" w:ascii="宋体" w:hAnsi="宋体" w:eastAsia="宋体" w:cs="宋体"/>
          <w:color w:val="auto"/>
          <w:sz w:val="24"/>
          <w:highlight w:val="none"/>
          <w:u w:val="single"/>
        </w:rPr>
        <w:t xml:space="preserve">                                      </w:t>
      </w:r>
    </w:p>
    <w:p>
      <w:pPr>
        <w:spacing w:line="440" w:lineRule="exact"/>
        <w:jc w:val="right"/>
        <w:rPr>
          <w:rFonts w:ascii="宋体" w:hAnsi="宋体" w:eastAsia="宋体" w:cs="宋体"/>
          <w:color w:val="auto"/>
          <w:sz w:val="24"/>
          <w:highlight w:val="none"/>
        </w:rPr>
      </w:pPr>
    </w:p>
    <w:p>
      <w:pPr>
        <w:spacing w:line="440" w:lineRule="exact"/>
        <w:jc w:val="right"/>
        <w:rPr>
          <w:rFonts w:ascii="宋体" w:hAnsi="宋体" w:eastAsia="宋体" w:cs="宋体"/>
          <w:color w:val="auto"/>
          <w:sz w:val="24"/>
          <w:highlight w:val="none"/>
        </w:rPr>
      </w:pPr>
    </w:p>
    <w:p>
      <w:pPr>
        <w:spacing w:line="440" w:lineRule="exact"/>
        <w:ind w:firstLine="2640" w:firstLineChars="1100"/>
        <w:jc w:val="right"/>
        <w:rPr>
          <w:rFonts w:ascii="宋体" w:hAnsi="宋体" w:eastAsia="宋体" w:cs="宋体"/>
          <w:color w:val="auto"/>
          <w:szCs w:val="21"/>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pStyle w:val="4"/>
        <w:spacing w:before="120" w:after="120" w:line="520" w:lineRule="exact"/>
        <w:jc w:val="center"/>
        <w:rPr>
          <w:rFonts w:ascii="宋体" w:hAnsi="宋体" w:eastAsia="宋体" w:cs="宋体"/>
          <w:color w:val="auto"/>
          <w:highlight w:val="none"/>
        </w:rPr>
      </w:pPr>
      <w:r>
        <w:rPr>
          <w:rFonts w:hint="eastAsia" w:ascii="宋体" w:hAnsi="宋体" w:eastAsia="宋体" w:cs="宋体"/>
          <w:color w:val="auto"/>
          <w:sz w:val="20"/>
          <w:szCs w:val="20"/>
          <w:highlight w:val="none"/>
        </w:rPr>
        <w:br w:type="page"/>
      </w:r>
      <w:r>
        <w:rPr>
          <w:rFonts w:hint="eastAsia" w:ascii="宋体" w:hAnsi="宋体" w:eastAsia="宋体" w:cs="宋体"/>
          <w:color w:val="auto"/>
          <w:highlight w:val="none"/>
        </w:rPr>
        <w:t>三、报价一览表</w:t>
      </w:r>
    </w:p>
    <w:tbl>
      <w:tblPr>
        <w:tblStyle w:val="20"/>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9"/>
        <w:gridCol w:w="2835"/>
        <w:gridCol w:w="1110"/>
        <w:gridCol w:w="2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 w:hRule="atLeast"/>
          <w:jc w:val="center"/>
        </w:trPr>
        <w:tc>
          <w:tcPr>
            <w:tcW w:w="9286" w:type="dxa"/>
            <w:gridSpan w:val="4"/>
            <w:vAlign w:val="center"/>
          </w:tcPr>
          <w:p>
            <w:pPr>
              <w:rPr>
                <w:rFonts w:ascii="宋体" w:hAnsi="宋体" w:eastAsia="宋体" w:cs="宋体"/>
                <w:bCs/>
                <w:color w:val="auto"/>
                <w:sz w:val="24"/>
                <w:highlight w:val="none"/>
              </w:rPr>
            </w:pPr>
            <w:r>
              <w:rPr>
                <w:rFonts w:hint="eastAsia" w:ascii="宋体" w:hAnsi="宋体" w:eastAsia="宋体" w:cs="宋体"/>
                <w:bCs/>
                <w:color w:val="auto"/>
                <w:sz w:val="24"/>
                <w:highlight w:val="none"/>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5" w:hRule="atLeast"/>
          <w:jc w:val="center"/>
        </w:trPr>
        <w:tc>
          <w:tcPr>
            <w:tcW w:w="2349" w:type="dxa"/>
            <w:vAlign w:val="center"/>
          </w:tcPr>
          <w:p>
            <w:pPr>
              <w:spacing w:line="360" w:lineRule="auto"/>
              <w:jc w:val="center"/>
              <w:rPr>
                <w:rFonts w:ascii="宋体" w:hAnsi="宋体" w:eastAsia="宋体" w:cs="宋体"/>
                <w:bCs/>
                <w:color w:val="auto"/>
                <w:sz w:val="24"/>
                <w:highlight w:val="none"/>
              </w:rPr>
            </w:pPr>
            <w:r>
              <w:rPr>
                <w:rFonts w:hint="eastAsia" w:ascii="宋体" w:hAnsi="宋体" w:eastAsia="宋体" w:cs="宋体"/>
                <w:color w:val="auto"/>
                <w:kern w:val="1"/>
                <w:sz w:val="24"/>
                <w:highlight w:val="none"/>
                <w:lang w:val="zh-CN"/>
              </w:rPr>
              <w:t>审计后税前总造价让利比例</w:t>
            </w:r>
          </w:p>
        </w:tc>
        <w:tc>
          <w:tcPr>
            <w:tcW w:w="6937" w:type="dxa"/>
            <w:gridSpan w:val="3"/>
            <w:vAlign w:val="center"/>
          </w:tcPr>
          <w:p>
            <w:pPr>
              <w:spacing w:line="360" w:lineRule="auto"/>
              <w:rPr>
                <w:rFonts w:ascii="宋体" w:hAnsi="宋体" w:eastAsia="宋体" w:cs="宋体"/>
                <w:bCs/>
                <w:color w:val="auto"/>
                <w:sz w:val="24"/>
                <w:highlight w:val="none"/>
              </w:rPr>
            </w:pPr>
            <w:r>
              <w:rPr>
                <w:rFonts w:hint="eastAsia" w:ascii="宋体" w:hAnsi="宋体" w:eastAsia="宋体" w:cs="宋体"/>
                <w:bCs/>
                <w:color w:val="auto"/>
                <w:sz w:val="24"/>
                <w:highlight w:val="none"/>
                <w:u w:val="single"/>
              </w:rPr>
              <w:t>　　　　　　　</w:t>
            </w:r>
            <w:r>
              <w:rPr>
                <w:rFonts w:hint="eastAsia" w:ascii="宋体" w:hAnsi="宋体" w:eastAsia="宋体" w:cs="宋体"/>
                <w:bCs/>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5" w:hRule="atLeast"/>
          <w:jc w:val="center"/>
        </w:trPr>
        <w:tc>
          <w:tcPr>
            <w:tcW w:w="2349" w:type="dxa"/>
            <w:vAlign w:val="center"/>
          </w:tcPr>
          <w:p>
            <w:pPr>
              <w:jc w:val="center"/>
              <w:rPr>
                <w:rFonts w:ascii="宋体" w:hAnsi="宋体" w:eastAsia="宋体" w:cs="宋体"/>
                <w:bCs/>
                <w:color w:val="auto"/>
                <w:sz w:val="24"/>
                <w:highlight w:val="none"/>
              </w:rPr>
            </w:pPr>
            <w:r>
              <w:rPr>
                <w:rFonts w:hint="eastAsia" w:ascii="宋体" w:hAnsi="宋体" w:eastAsia="宋体" w:cs="宋体"/>
                <w:bCs/>
                <w:color w:val="auto"/>
                <w:sz w:val="24"/>
                <w:highlight w:val="none"/>
              </w:rPr>
              <w:t>服务期</w:t>
            </w:r>
          </w:p>
        </w:tc>
        <w:tc>
          <w:tcPr>
            <w:tcW w:w="6937" w:type="dxa"/>
            <w:gridSpan w:val="3"/>
            <w:vAlign w:val="center"/>
          </w:tcPr>
          <w:p>
            <w:pPr>
              <w:rPr>
                <w:rFonts w:ascii="宋体" w:hAnsi="宋体" w:eastAsia="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8" w:hRule="atLeast"/>
          <w:jc w:val="center"/>
        </w:trPr>
        <w:tc>
          <w:tcPr>
            <w:tcW w:w="2349" w:type="dxa"/>
            <w:vAlign w:val="center"/>
          </w:tcPr>
          <w:p>
            <w:pPr>
              <w:jc w:val="center"/>
              <w:rPr>
                <w:rFonts w:ascii="宋体" w:hAnsi="宋体" w:eastAsia="宋体" w:cs="宋体"/>
                <w:bCs/>
                <w:color w:val="auto"/>
                <w:sz w:val="24"/>
                <w:highlight w:val="none"/>
              </w:rPr>
            </w:pPr>
            <w:r>
              <w:rPr>
                <w:rFonts w:hint="eastAsia" w:ascii="宋体" w:hAnsi="宋体" w:eastAsia="宋体" w:cs="宋体"/>
                <w:bCs/>
                <w:color w:val="auto"/>
                <w:sz w:val="24"/>
                <w:highlight w:val="none"/>
              </w:rPr>
              <w:t>项目负责人</w:t>
            </w:r>
          </w:p>
        </w:tc>
        <w:tc>
          <w:tcPr>
            <w:tcW w:w="2835" w:type="dxa"/>
            <w:vAlign w:val="center"/>
          </w:tcPr>
          <w:p>
            <w:pPr>
              <w:jc w:val="center"/>
              <w:rPr>
                <w:rFonts w:ascii="宋体" w:hAnsi="宋体" w:eastAsia="宋体" w:cs="宋体"/>
                <w:bCs/>
                <w:color w:val="auto"/>
                <w:sz w:val="24"/>
                <w:highlight w:val="none"/>
              </w:rPr>
            </w:pPr>
          </w:p>
        </w:tc>
        <w:tc>
          <w:tcPr>
            <w:tcW w:w="1110" w:type="dxa"/>
            <w:vAlign w:val="center"/>
          </w:tcPr>
          <w:p>
            <w:pPr>
              <w:jc w:val="center"/>
              <w:rPr>
                <w:rFonts w:ascii="宋体" w:hAnsi="宋体" w:eastAsia="宋体" w:cs="宋体"/>
                <w:bCs/>
                <w:color w:val="auto"/>
                <w:sz w:val="24"/>
                <w:highlight w:val="none"/>
              </w:rPr>
            </w:pPr>
            <w:r>
              <w:rPr>
                <w:rFonts w:hint="eastAsia" w:ascii="宋体" w:hAnsi="宋体" w:eastAsia="宋体" w:cs="宋体"/>
                <w:bCs/>
                <w:color w:val="auto"/>
                <w:sz w:val="24"/>
                <w:highlight w:val="none"/>
              </w:rPr>
              <w:t>级别</w:t>
            </w:r>
          </w:p>
        </w:tc>
        <w:tc>
          <w:tcPr>
            <w:tcW w:w="2992" w:type="dxa"/>
            <w:tcBorders>
              <w:right w:val="single" w:color="auto" w:sz="4" w:space="0"/>
            </w:tcBorders>
            <w:vAlign w:val="center"/>
          </w:tcPr>
          <w:p>
            <w:pPr>
              <w:jc w:val="center"/>
              <w:rPr>
                <w:rFonts w:ascii="宋体" w:hAnsi="宋体" w:eastAsia="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1" w:hRule="atLeast"/>
          <w:jc w:val="center"/>
        </w:trPr>
        <w:tc>
          <w:tcPr>
            <w:tcW w:w="2349" w:type="dxa"/>
            <w:tcBorders>
              <w:right w:val="single" w:color="auto" w:sz="4" w:space="0"/>
            </w:tcBorders>
            <w:vAlign w:val="center"/>
          </w:tcPr>
          <w:p>
            <w:pPr>
              <w:jc w:val="center"/>
              <w:rPr>
                <w:rFonts w:ascii="宋体" w:hAnsi="宋体" w:eastAsia="宋体" w:cs="宋体"/>
                <w:bCs/>
                <w:color w:val="auto"/>
                <w:sz w:val="24"/>
                <w:highlight w:val="none"/>
              </w:rPr>
            </w:pPr>
            <w:r>
              <w:rPr>
                <w:rFonts w:hint="eastAsia" w:ascii="宋体" w:hAnsi="宋体" w:eastAsia="宋体" w:cs="宋体"/>
                <w:color w:val="auto"/>
                <w:kern w:val="1"/>
                <w:sz w:val="24"/>
                <w:highlight w:val="none"/>
              </w:rPr>
              <w:t>对竞争性磋商文件的响应程度</w:t>
            </w:r>
          </w:p>
        </w:tc>
        <w:tc>
          <w:tcPr>
            <w:tcW w:w="6937" w:type="dxa"/>
            <w:gridSpan w:val="3"/>
            <w:tcBorders>
              <w:right w:val="single" w:color="auto" w:sz="4" w:space="0"/>
            </w:tcBorders>
            <w:vAlign w:val="center"/>
          </w:tcPr>
          <w:p>
            <w:pPr>
              <w:rPr>
                <w:rFonts w:ascii="宋体" w:hAnsi="宋体" w:eastAsia="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1" w:hRule="atLeast"/>
          <w:jc w:val="center"/>
        </w:trPr>
        <w:tc>
          <w:tcPr>
            <w:tcW w:w="2349" w:type="dxa"/>
            <w:tcBorders>
              <w:right w:val="single" w:color="auto" w:sz="4" w:space="0"/>
            </w:tcBorders>
            <w:vAlign w:val="center"/>
          </w:tcPr>
          <w:p>
            <w:pPr>
              <w:tabs>
                <w:tab w:val="left" w:pos="0"/>
                <w:tab w:val="left" w:pos="720"/>
                <w:tab w:val="left" w:pos="1440"/>
                <w:tab w:val="left" w:pos="2160"/>
                <w:tab w:val="left" w:pos="2880"/>
                <w:tab w:val="left" w:pos="3600"/>
                <w:tab w:val="left" w:pos="4320"/>
              </w:tabs>
              <w:spacing w:line="520" w:lineRule="exact"/>
              <w:jc w:val="center"/>
              <w:rPr>
                <w:rFonts w:ascii="宋体" w:hAnsi="宋体" w:eastAsia="宋体" w:cs="宋体"/>
                <w:color w:val="auto"/>
                <w:kern w:val="1"/>
                <w:sz w:val="24"/>
                <w:highlight w:val="none"/>
                <w:lang w:val="zh-CN"/>
              </w:rPr>
            </w:pPr>
            <w:r>
              <w:rPr>
                <w:rFonts w:hint="eastAsia" w:ascii="宋体" w:hAnsi="宋体" w:eastAsia="宋体" w:cs="宋体"/>
                <w:color w:val="auto"/>
                <w:kern w:val="1"/>
                <w:sz w:val="24"/>
                <w:highlight w:val="none"/>
                <w:lang w:val="zh-CN"/>
              </w:rPr>
              <w:t>合理化建议</w:t>
            </w:r>
          </w:p>
          <w:p>
            <w:pPr>
              <w:jc w:val="center"/>
              <w:rPr>
                <w:rFonts w:ascii="宋体" w:hAnsi="宋体" w:eastAsia="宋体" w:cs="宋体"/>
                <w:bCs/>
                <w:color w:val="auto"/>
                <w:sz w:val="24"/>
                <w:highlight w:val="none"/>
              </w:rPr>
            </w:pPr>
            <w:r>
              <w:rPr>
                <w:rFonts w:hint="eastAsia" w:ascii="宋体" w:hAnsi="宋体" w:eastAsia="宋体" w:cs="宋体"/>
                <w:color w:val="auto"/>
                <w:kern w:val="1"/>
                <w:sz w:val="24"/>
                <w:highlight w:val="none"/>
                <w:lang w:val="zh-CN"/>
              </w:rPr>
              <w:t>及优惠条件</w:t>
            </w:r>
          </w:p>
        </w:tc>
        <w:tc>
          <w:tcPr>
            <w:tcW w:w="6937" w:type="dxa"/>
            <w:gridSpan w:val="3"/>
            <w:tcBorders>
              <w:right w:val="single" w:color="auto" w:sz="4" w:space="0"/>
            </w:tcBorders>
            <w:vAlign w:val="center"/>
          </w:tcPr>
          <w:p>
            <w:pPr>
              <w:rPr>
                <w:rFonts w:ascii="宋体" w:hAnsi="宋体" w:eastAsia="宋体" w:cs="宋体"/>
                <w:bCs/>
                <w:color w:val="auto"/>
                <w:sz w:val="24"/>
                <w:highlight w:val="none"/>
              </w:rPr>
            </w:pPr>
          </w:p>
        </w:tc>
      </w:tr>
    </w:tbl>
    <w:p>
      <w:pPr>
        <w:overflowPunct w:val="0"/>
        <w:autoSpaceDE w:val="0"/>
        <w:autoSpaceDN w:val="0"/>
        <w:adjustRightInd w:val="0"/>
        <w:rPr>
          <w:rFonts w:ascii="宋体" w:hAnsi="宋体" w:eastAsia="宋体" w:cs="宋体"/>
          <w:bCs/>
          <w:color w:val="auto"/>
          <w:sz w:val="24"/>
          <w:highlight w:val="none"/>
        </w:rPr>
      </w:pPr>
    </w:p>
    <w:p>
      <w:pPr>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供应商：（盖章）</w:t>
      </w:r>
    </w:p>
    <w:p>
      <w:pPr>
        <w:jc w:val="left"/>
        <w:rPr>
          <w:rFonts w:ascii="宋体" w:hAnsi="宋体" w:eastAsia="宋体" w:cs="宋体"/>
          <w:bCs/>
          <w:color w:val="auto"/>
          <w:sz w:val="24"/>
          <w:highlight w:val="none"/>
        </w:rPr>
      </w:pPr>
    </w:p>
    <w:p>
      <w:pPr>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法定代表人：（签字或盖章）</w:t>
      </w:r>
    </w:p>
    <w:p>
      <w:pPr>
        <w:jc w:val="left"/>
        <w:rPr>
          <w:rFonts w:ascii="宋体" w:hAnsi="宋体" w:eastAsia="宋体" w:cs="宋体"/>
          <w:bCs/>
          <w:color w:val="auto"/>
          <w:sz w:val="24"/>
          <w:highlight w:val="none"/>
        </w:rPr>
      </w:pPr>
    </w:p>
    <w:p>
      <w:pPr>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日期：     年   月   日</w:t>
      </w:r>
    </w:p>
    <w:p>
      <w:pPr>
        <w:tabs>
          <w:tab w:val="left" w:pos="5685"/>
        </w:tabs>
        <w:overflowPunct w:val="0"/>
        <w:autoSpaceDE w:val="0"/>
        <w:autoSpaceDN w:val="0"/>
        <w:adjustRightInd w:val="0"/>
        <w:rPr>
          <w:rFonts w:ascii="宋体" w:hAnsi="宋体" w:eastAsia="宋体" w:cs="宋体"/>
          <w:bCs/>
          <w:color w:val="auto"/>
          <w:sz w:val="24"/>
          <w:highlight w:val="none"/>
        </w:rPr>
      </w:pPr>
      <w:r>
        <w:rPr>
          <w:rFonts w:hint="eastAsia" w:ascii="宋体" w:hAnsi="宋体" w:eastAsia="宋体" w:cs="宋体"/>
          <w:bCs/>
          <w:color w:val="auto"/>
          <w:sz w:val="24"/>
          <w:highlight w:val="none"/>
        </w:rPr>
        <w:tab/>
      </w:r>
      <w:r>
        <w:rPr>
          <w:rFonts w:hint="eastAsia" w:ascii="宋体" w:hAnsi="宋体" w:eastAsia="宋体" w:cs="宋体"/>
          <w:bCs/>
          <w:color w:val="auto"/>
          <w:sz w:val="24"/>
          <w:highlight w:val="none"/>
        </w:rPr>
        <w:t>（注：唱价单应付首页）</w:t>
      </w:r>
    </w:p>
    <w:p>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bCs/>
          <w:color w:val="auto"/>
          <w:sz w:val="24"/>
          <w:highlight w:val="none"/>
        </w:rPr>
        <w:t>注：除响应文件内装订</w:t>
      </w:r>
      <w:r>
        <w:rPr>
          <w:rFonts w:hint="eastAsia" w:ascii="宋体" w:hAnsi="宋体" w:eastAsia="宋体" w:cs="宋体"/>
          <w:color w:val="auto"/>
          <w:sz w:val="24"/>
          <w:highlight w:val="none"/>
        </w:rPr>
        <w:t>“报价一览表”外，供应商必须另外单独密封一式二份 “报价一览表”，单独提供的“报价一览表”密封到同一个信封里，现场与投标文件同时提交。在封面加盖单位公章并注明报价一览表、项目名称、所报包号、供应商名称。</w:t>
      </w:r>
    </w:p>
    <w:p>
      <w:pPr>
        <w:spacing w:line="440" w:lineRule="exact"/>
        <w:jc w:val="center"/>
        <w:rPr>
          <w:rFonts w:ascii="宋体" w:hAnsi="宋体" w:eastAsia="宋体" w:cs="宋体"/>
          <w:color w:val="auto"/>
          <w:sz w:val="27"/>
          <w:szCs w:val="27"/>
          <w:highlight w:val="none"/>
        </w:rPr>
      </w:pPr>
      <w:r>
        <w:rPr>
          <w:rFonts w:hint="eastAsia" w:ascii="宋体" w:hAnsi="宋体" w:eastAsia="宋体" w:cs="宋体"/>
          <w:color w:val="auto"/>
          <w:sz w:val="20"/>
          <w:highlight w:val="none"/>
        </w:rPr>
        <w:br w:type="page"/>
      </w:r>
    </w:p>
    <w:p>
      <w:pPr>
        <w:pStyle w:val="5"/>
        <w:tabs>
          <w:tab w:val="left" w:pos="960"/>
        </w:tabs>
        <w:jc w:val="center"/>
        <w:rPr>
          <w:rFonts w:ascii="宋体" w:hAnsi="宋体" w:eastAsia="宋体" w:cs="宋体"/>
          <w:color w:val="auto"/>
          <w:highlight w:val="none"/>
        </w:rPr>
      </w:pPr>
      <w:bookmarkStart w:id="122" w:name="_Toc152042584"/>
      <w:bookmarkStart w:id="123" w:name="_Toc296602608"/>
      <w:bookmarkStart w:id="124" w:name="_Toc152045795"/>
      <w:bookmarkStart w:id="125" w:name="_Toc246996363"/>
      <w:bookmarkStart w:id="126" w:name="_Toc246997106"/>
      <w:bookmarkStart w:id="127" w:name="_Toc144974863"/>
      <w:bookmarkStart w:id="128" w:name="_Toc247085881"/>
      <w:bookmarkStart w:id="129" w:name="_Toc179632815"/>
      <w:r>
        <w:rPr>
          <w:rFonts w:hint="eastAsia" w:ascii="宋体" w:hAnsi="宋体" w:eastAsia="宋体" w:cs="宋体"/>
          <w:color w:val="auto"/>
          <w:highlight w:val="none"/>
        </w:rPr>
        <w:t>四、项目班子配备人员一览表</w:t>
      </w:r>
    </w:p>
    <w:tbl>
      <w:tblPr>
        <w:tblStyle w:val="20"/>
        <w:tblW w:w="91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131"/>
        <w:gridCol w:w="714"/>
        <w:gridCol w:w="930"/>
        <w:gridCol w:w="931"/>
        <w:gridCol w:w="1508"/>
        <w:gridCol w:w="1482"/>
        <w:gridCol w:w="1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76" w:type="dxa"/>
            <w:vAlign w:val="center"/>
          </w:tcPr>
          <w:p>
            <w:pPr>
              <w:jc w:val="center"/>
              <w:rPr>
                <w:rFonts w:ascii="宋体" w:hAnsi="宋体" w:eastAsia="宋体" w:cs="宋体"/>
                <w:color w:val="auto"/>
                <w:highlight w:val="none"/>
              </w:rPr>
            </w:pPr>
            <w:r>
              <w:rPr>
                <w:rFonts w:hint="eastAsia" w:ascii="宋体" w:hAnsi="宋体" w:eastAsia="宋体" w:cs="宋体"/>
                <w:color w:val="auto"/>
                <w:highlight w:val="none"/>
              </w:rPr>
              <w:t>序号</w:t>
            </w:r>
          </w:p>
        </w:tc>
        <w:tc>
          <w:tcPr>
            <w:tcW w:w="1131" w:type="dxa"/>
            <w:vAlign w:val="center"/>
          </w:tcPr>
          <w:p>
            <w:pPr>
              <w:ind w:firstLine="240"/>
              <w:jc w:val="center"/>
              <w:rPr>
                <w:rFonts w:ascii="宋体" w:hAnsi="宋体" w:eastAsia="宋体" w:cs="宋体"/>
                <w:color w:val="auto"/>
                <w:highlight w:val="none"/>
              </w:rPr>
            </w:pPr>
            <w:r>
              <w:rPr>
                <w:rFonts w:hint="eastAsia" w:ascii="宋体" w:hAnsi="宋体" w:eastAsia="宋体" w:cs="宋体"/>
                <w:color w:val="auto"/>
                <w:highlight w:val="none"/>
              </w:rPr>
              <w:t>姓名</w:t>
            </w:r>
          </w:p>
        </w:tc>
        <w:tc>
          <w:tcPr>
            <w:tcW w:w="714" w:type="dxa"/>
            <w:vAlign w:val="center"/>
          </w:tcPr>
          <w:p>
            <w:pPr>
              <w:jc w:val="center"/>
              <w:rPr>
                <w:rFonts w:ascii="宋体" w:hAnsi="宋体" w:eastAsia="宋体" w:cs="宋体"/>
                <w:color w:val="auto"/>
                <w:highlight w:val="none"/>
              </w:rPr>
            </w:pPr>
            <w:r>
              <w:rPr>
                <w:rFonts w:hint="eastAsia" w:ascii="宋体" w:hAnsi="宋体" w:eastAsia="宋体" w:cs="宋体"/>
                <w:color w:val="auto"/>
                <w:highlight w:val="none"/>
              </w:rPr>
              <w:t>年龄</w:t>
            </w:r>
          </w:p>
        </w:tc>
        <w:tc>
          <w:tcPr>
            <w:tcW w:w="930" w:type="dxa"/>
            <w:vAlign w:val="center"/>
          </w:tcPr>
          <w:p>
            <w:pPr>
              <w:jc w:val="center"/>
              <w:rPr>
                <w:rFonts w:ascii="宋体" w:hAnsi="宋体" w:eastAsia="宋体" w:cs="宋体"/>
                <w:color w:val="auto"/>
                <w:highlight w:val="none"/>
              </w:rPr>
            </w:pPr>
            <w:r>
              <w:rPr>
                <w:rFonts w:hint="eastAsia" w:ascii="宋体" w:hAnsi="宋体" w:eastAsia="宋体" w:cs="宋体"/>
                <w:color w:val="auto"/>
                <w:highlight w:val="none"/>
              </w:rPr>
              <w:t>学历</w:t>
            </w:r>
          </w:p>
        </w:tc>
        <w:tc>
          <w:tcPr>
            <w:tcW w:w="931" w:type="dxa"/>
            <w:vAlign w:val="center"/>
          </w:tcPr>
          <w:p>
            <w:pPr>
              <w:jc w:val="center"/>
              <w:rPr>
                <w:rFonts w:ascii="宋体" w:hAnsi="宋体" w:eastAsia="宋体" w:cs="宋体"/>
                <w:color w:val="auto"/>
                <w:highlight w:val="none"/>
              </w:rPr>
            </w:pPr>
            <w:r>
              <w:rPr>
                <w:rFonts w:hint="eastAsia" w:ascii="宋体" w:hAnsi="宋体" w:eastAsia="宋体" w:cs="宋体"/>
                <w:color w:val="auto"/>
                <w:highlight w:val="none"/>
              </w:rPr>
              <w:t>执业资格/职称</w:t>
            </w:r>
          </w:p>
        </w:tc>
        <w:tc>
          <w:tcPr>
            <w:tcW w:w="1508" w:type="dxa"/>
            <w:vAlign w:val="center"/>
          </w:tcPr>
          <w:p>
            <w:pPr>
              <w:jc w:val="center"/>
              <w:rPr>
                <w:rFonts w:ascii="宋体" w:hAnsi="宋体" w:eastAsia="宋体" w:cs="宋体"/>
                <w:color w:val="auto"/>
                <w:highlight w:val="none"/>
              </w:rPr>
            </w:pPr>
            <w:r>
              <w:rPr>
                <w:rFonts w:hint="eastAsia" w:ascii="宋体" w:hAnsi="宋体" w:eastAsia="宋体" w:cs="宋体"/>
                <w:color w:val="auto"/>
                <w:highlight w:val="none"/>
              </w:rPr>
              <w:t>职业或执业证书名称</w:t>
            </w:r>
          </w:p>
        </w:tc>
        <w:tc>
          <w:tcPr>
            <w:tcW w:w="1482" w:type="dxa"/>
            <w:vAlign w:val="center"/>
          </w:tcPr>
          <w:p>
            <w:pPr>
              <w:jc w:val="center"/>
              <w:rPr>
                <w:rFonts w:ascii="宋体" w:hAnsi="宋体" w:eastAsia="宋体" w:cs="宋体"/>
                <w:color w:val="auto"/>
                <w:highlight w:val="none"/>
              </w:rPr>
            </w:pPr>
            <w:r>
              <w:rPr>
                <w:rFonts w:hint="eastAsia" w:ascii="宋体" w:hAnsi="宋体" w:eastAsia="宋体" w:cs="宋体"/>
                <w:color w:val="auto"/>
                <w:highlight w:val="none"/>
              </w:rPr>
              <w:t>证书编号</w:t>
            </w:r>
          </w:p>
        </w:tc>
        <w:tc>
          <w:tcPr>
            <w:tcW w:w="1681" w:type="dxa"/>
            <w:vAlign w:val="center"/>
          </w:tcPr>
          <w:p>
            <w:pPr>
              <w:jc w:val="center"/>
              <w:rPr>
                <w:rFonts w:ascii="宋体" w:hAnsi="宋体" w:eastAsia="宋体" w:cs="宋体"/>
                <w:color w:val="auto"/>
                <w:highlight w:val="none"/>
              </w:rPr>
            </w:pPr>
            <w:r>
              <w:rPr>
                <w:rFonts w:hint="eastAsia" w:ascii="宋体" w:hAnsi="宋体" w:eastAsia="宋体" w:cs="宋体"/>
                <w:color w:val="auto"/>
                <w:highlight w:val="none"/>
              </w:rPr>
              <w:t>本项目拟任职务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776" w:type="dxa"/>
            <w:vAlign w:val="center"/>
          </w:tcPr>
          <w:p>
            <w:pPr>
              <w:jc w:val="center"/>
              <w:rPr>
                <w:rFonts w:ascii="宋体" w:hAnsi="宋体" w:eastAsia="宋体" w:cs="宋体"/>
                <w:color w:val="auto"/>
                <w:highlight w:val="none"/>
              </w:rPr>
            </w:pPr>
            <w:r>
              <w:rPr>
                <w:rFonts w:hint="eastAsia" w:ascii="宋体" w:hAnsi="宋体" w:eastAsia="宋体" w:cs="宋体"/>
                <w:color w:val="auto"/>
                <w:highlight w:val="none"/>
              </w:rPr>
              <w:t>1</w:t>
            </w:r>
          </w:p>
        </w:tc>
        <w:tc>
          <w:tcPr>
            <w:tcW w:w="1131" w:type="dxa"/>
            <w:vAlign w:val="center"/>
          </w:tcPr>
          <w:p>
            <w:pPr>
              <w:jc w:val="center"/>
              <w:rPr>
                <w:rFonts w:ascii="宋体" w:hAnsi="宋体" w:eastAsia="宋体" w:cs="宋体"/>
                <w:color w:val="auto"/>
                <w:highlight w:val="none"/>
              </w:rPr>
            </w:pPr>
          </w:p>
        </w:tc>
        <w:tc>
          <w:tcPr>
            <w:tcW w:w="714" w:type="dxa"/>
            <w:vAlign w:val="center"/>
          </w:tcPr>
          <w:p>
            <w:pPr>
              <w:jc w:val="center"/>
              <w:rPr>
                <w:rFonts w:ascii="宋体" w:hAnsi="宋体" w:eastAsia="宋体" w:cs="宋体"/>
                <w:color w:val="auto"/>
                <w:highlight w:val="none"/>
              </w:rPr>
            </w:pPr>
          </w:p>
        </w:tc>
        <w:tc>
          <w:tcPr>
            <w:tcW w:w="930" w:type="dxa"/>
            <w:vAlign w:val="center"/>
          </w:tcPr>
          <w:p>
            <w:pPr>
              <w:jc w:val="center"/>
              <w:rPr>
                <w:rFonts w:ascii="宋体" w:hAnsi="宋体" w:eastAsia="宋体" w:cs="宋体"/>
                <w:color w:val="auto"/>
                <w:highlight w:val="none"/>
              </w:rPr>
            </w:pPr>
          </w:p>
        </w:tc>
        <w:tc>
          <w:tcPr>
            <w:tcW w:w="931" w:type="dxa"/>
            <w:vAlign w:val="center"/>
          </w:tcPr>
          <w:p>
            <w:pPr>
              <w:jc w:val="center"/>
              <w:rPr>
                <w:rFonts w:ascii="宋体" w:hAnsi="宋体" w:eastAsia="宋体" w:cs="宋体"/>
                <w:color w:val="auto"/>
                <w:highlight w:val="none"/>
              </w:rPr>
            </w:pPr>
          </w:p>
        </w:tc>
        <w:tc>
          <w:tcPr>
            <w:tcW w:w="1508" w:type="dxa"/>
            <w:vAlign w:val="center"/>
          </w:tcPr>
          <w:p>
            <w:pPr>
              <w:jc w:val="center"/>
              <w:rPr>
                <w:rFonts w:ascii="宋体" w:hAnsi="宋体" w:eastAsia="宋体" w:cs="宋体"/>
                <w:color w:val="auto"/>
                <w:highlight w:val="none"/>
              </w:rPr>
            </w:pPr>
          </w:p>
        </w:tc>
        <w:tc>
          <w:tcPr>
            <w:tcW w:w="1482" w:type="dxa"/>
            <w:vAlign w:val="center"/>
          </w:tcPr>
          <w:p>
            <w:pPr>
              <w:jc w:val="center"/>
              <w:rPr>
                <w:rFonts w:ascii="宋体" w:hAnsi="宋体" w:eastAsia="宋体" w:cs="宋体"/>
                <w:color w:val="auto"/>
                <w:highlight w:val="none"/>
              </w:rPr>
            </w:pPr>
          </w:p>
        </w:tc>
        <w:tc>
          <w:tcPr>
            <w:tcW w:w="1681" w:type="dxa"/>
            <w:vAlign w:val="center"/>
          </w:tcPr>
          <w:p>
            <w:pPr>
              <w:jc w:val="center"/>
              <w:rPr>
                <w:rFonts w:ascii="宋体" w:hAnsi="宋体" w:eastAsia="宋体" w:cs="宋体"/>
                <w:color w:val="auto"/>
                <w:highlight w:val="none"/>
              </w:rPr>
            </w:pPr>
            <w:r>
              <w:rPr>
                <w:rFonts w:hint="eastAsia" w:ascii="宋体" w:hAnsi="宋体" w:eastAsia="宋体" w:cs="宋体"/>
                <w:color w:val="auto"/>
                <w:highlight w:val="none"/>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776" w:type="dxa"/>
            <w:vAlign w:val="center"/>
          </w:tcPr>
          <w:p>
            <w:pPr>
              <w:jc w:val="center"/>
              <w:rPr>
                <w:rFonts w:ascii="宋体" w:hAnsi="宋体" w:eastAsia="宋体" w:cs="宋体"/>
                <w:color w:val="auto"/>
                <w:highlight w:val="none"/>
              </w:rPr>
            </w:pPr>
            <w:r>
              <w:rPr>
                <w:rFonts w:hint="eastAsia" w:ascii="宋体" w:hAnsi="宋体" w:eastAsia="宋体" w:cs="宋体"/>
                <w:color w:val="auto"/>
                <w:highlight w:val="none"/>
              </w:rPr>
              <w:t>2</w:t>
            </w:r>
          </w:p>
        </w:tc>
        <w:tc>
          <w:tcPr>
            <w:tcW w:w="1131" w:type="dxa"/>
            <w:vAlign w:val="center"/>
          </w:tcPr>
          <w:p>
            <w:pPr>
              <w:jc w:val="center"/>
              <w:rPr>
                <w:rFonts w:ascii="宋体" w:hAnsi="宋体" w:eastAsia="宋体" w:cs="宋体"/>
                <w:color w:val="auto"/>
                <w:highlight w:val="none"/>
              </w:rPr>
            </w:pPr>
          </w:p>
        </w:tc>
        <w:tc>
          <w:tcPr>
            <w:tcW w:w="714" w:type="dxa"/>
            <w:vAlign w:val="center"/>
          </w:tcPr>
          <w:p>
            <w:pPr>
              <w:jc w:val="center"/>
              <w:rPr>
                <w:rFonts w:ascii="宋体" w:hAnsi="宋体" w:eastAsia="宋体" w:cs="宋体"/>
                <w:color w:val="auto"/>
                <w:highlight w:val="none"/>
              </w:rPr>
            </w:pPr>
          </w:p>
        </w:tc>
        <w:tc>
          <w:tcPr>
            <w:tcW w:w="930" w:type="dxa"/>
            <w:vAlign w:val="center"/>
          </w:tcPr>
          <w:p>
            <w:pPr>
              <w:jc w:val="center"/>
              <w:rPr>
                <w:rFonts w:ascii="宋体" w:hAnsi="宋体" w:eastAsia="宋体" w:cs="宋体"/>
                <w:color w:val="auto"/>
                <w:highlight w:val="none"/>
              </w:rPr>
            </w:pPr>
          </w:p>
        </w:tc>
        <w:tc>
          <w:tcPr>
            <w:tcW w:w="931" w:type="dxa"/>
            <w:vAlign w:val="center"/>
          </w:tcPr>
          <w:p>
            <w:pPr>
              <w:jc w:val="center"/>
              <w:rPr>
                <w:rFonts w:ascii="宋体" w:hAnsi="宋体" w:eastAsia="宋体" w:cs="宋体"/>
                <w:color w:val="auto"/>
                <w:highlight w:val="none"/>
              </w:rPr>
            </w:pPr>
          </w:p>
        </w:tc>
        <w:tc>
          <w:tcPr>
            <w:tcW w:w="1508" w:type="dxa"/>
            <w:vAlign w:val="center"/>
          </w:tcPr>
          <w:p>
            <w:pPr>
              <w:jc w:val="center"/>
              <w:rPr>
                <w:rFonts w:ascii="宋体" w:hAnsi="宋体" w:eastAsia="宋体" w:cs="宋体"/>
                <w:color w:val="auto"/>
                <w:highlight w:val="none"/>
              </w:rPr>
            </w:pPr>
          </w:p>
        </w:tc>
        <w:tc>
          <w:tcPr>
            <w:tcW w:w="1482" w:type="dxa"/>
            <w:vAlign w:val="center"/>
          </w:tcPr>
          <w:p>
            <w:pPr>
              <w:jc w:val="center"/>
              <w:rPr>
                <w:rFonts w:ascii="宋体" w:hAnsi="宋体" w:eastAsia="宋体" w:cs="宋体"/>
                <w:color w:val="auto"/>
                <w:highlight w:val="none"/>
              </w:rPr>
            </w:pPr>
          </w:p>
        </w:tc>
        <w:tc>
          <w:tcPr>
            <w:tcW w:w="1681" w:type="dxa"/>
            <w:vAlign w:val="center"/>
          </w:tcPr>
          <w:p>
            <w:pPr>
              <w:jc w:val="center"/>
              <w:rPr>
                <w:rFonts w:ascii="宋体" w:hAnsi="宋体" w:eastAsia="宋体" w:cs="宋体"/>
                <w:color w:val="auto"/>
                <w:highlight w:val="none"/>
              </w:rPr>
            </w:pPr>
            <w:r>
              <w:rPr>
                <w:rFonts w:hint="eastAsia" w:ascii="宋体" w:hAnsi="宋体" w:eastAsia="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776" w:type="dxa"/>
            <w:vAlign w:val="center"/>
          </w:tcPr>
          <w:p>
            <w:pPr>
              <w:jc w:val="center"/>
              <w:rPr>
                <w:rFonts w:ascii="宋体" w:hAnsi="宋体" w:eastAsia="宋体" w:cs="宋体"/>
                <w:color w:val="auto"/>
                <w:highlight w:val="none"/>
              </w:rPr>
            </w:pPr>
            <w:r>
              <w:rPr>
                <w:rFonts w:hint="eastAsia" w:ascii="宋体" w:hAnsi="宋体" w:eastAsia="宋体" w:cs="宋体"/>
                <w:color w:val="auto"/>
                <w:highlight w:val="none"/>
              </w:rPr>
              <w:t>3</w:t>
            </w:r>
          </w:p>
        </w:tc>
        <w:tc>
          <w:tcPr>
            <w:tcW w:w="1131" w:type="dxa"/>
            <w:vAlign w:val="center"/>
          </w:tcPr>
          <w:p>
            <w:pPr>
              <w:jc w:val="center"/>
              <w:rPr>
                <w:rFonts w:ascii="宋体" w:hAnsi="宋体" w:eastAsia="宋体" w:cs="宋体"/>
                <w:color w:val="auto"/>
                <w:highlight w:val="none"/>
              </w:rPr>
            </w:pPr>
          </w:p>
        </w:tc>
        <w:tc>
          <w:tcPr>
            <w:tcW w:w="714" w:type="dxa"/>
            <w:vAlign w:val="center"/>
          </w:tcPr>
          <w:p>
            <w:pPr>
              <w:jc w:val="center"/>
              <w:rPr>
                <w:rFonts w:ascii="宋体" w:hAnsi="宋体" w:eastAsia="宋体" w:cs="宋体"/>
                <w:color w:val="auto"/>
                <w:highlight w:val="none"/>
              </w:rPr>
            </w:pPr>
          </w:p>
        </w:tc>
        <w:tc>
          <w:tcPr>
            <w:tcW w:w="930" w:type="dxa"/>
            <w:vAlign w:val="center"/>
          </w:tcPr>
          <w:p>
            <w:pPr>
              <w:jc w:val="center"/>
              <w:rPr>
                <w:rFonts w:ascii="宋体" w:hAnsi="宋体" w:eastAsia="宋体" w:cs="宋体"/>
                <w:color w:val="auto"/>
                <w:highlight w:val="none"/>
              </w:rPr>
            </w:pPr>
          </w:p>
        </w:tc>
        <w:tc>
          <w:tcPr>
            <w:tcW w:w="931" w:type="dxa"/>
            <w:vAlign w:val="center"/>
          </w:tcPr>
          <w:p>
            <w:pPr>
              <w:jc w:val="center"/>
              <w:rPr>
                <w:rFonts w:ascii="宋体" w:hAnsi="宋体" w:eastAsia="宋体" w:cs="宋体"/>
                <w:color w:val="auto"/>
                <w:highlight w:val="none"/>
              </w:rPr>
            </w:pPr>
          </w:p>
        </w:tc>
        <w:tc>
          <w:tcPr>
            <w:tcW w:w="1508" w:type="dxa"/>
            <w:vAlign w:val="center"/>
          </w:tcPr>
          <w:p>
            <w:pPr>
              <w:jc w:val="center"/>
              <w:rPr>
                <w:rFonts w:ascii="宋体" w:hAnsi="宋体" w:eastAsia="宋体" w:cs="宋体"/>
                <w:color w:val="auto"/>
                <w:highlight w:val="none"/>
              </w:rPr>
            </w:pPr>
          </w:p>
        </w:tc>
        <w:tc>
          <w:tcPr>
            <w:tcW w:w="1482" w:type="dxa"/>
            <w:vAlign w:val="center"/>
          </w:tcPr>
          <w:p>
            <w:pPr>
              <w:jc w:val="center"/>
              <w:rPr>
                <w:rFonts w:ascii="宋体" w:hAnsi="宋体" w:eastAsia="宋体" w:cs="宋体"/>
                <w:color w:val="auto"/>
                <w:highlight w:val="none"/>
              </w:rPr>
            </w:pPr>
          </w:p>
        </w:tc>
        <w:tc>
          <w:tcPr>
            <w:tcW w:w="1681" w:type="dxa"/>
            <w:vAlign w:val="center"/>
          </w:tcPr>
          <w:p>
            <w:pPr>
              <w:jc w:val="center"/>
              <w:rPr>
                <w:rFonts w:ascii="宋体" w:hAnsi="宋体" w:eastAsia="宋体" w:cs="宋体"/>
                <w:color w:val="auto"/>
                <w:highlight w:val="none"/>
              </w:rPr>
            </w:pPr>
            <w:r>
              <w:rPr>
                <w:rFonts w:hint="eastAsia" w:ascii="宋体" w:hAnsi="宋体" w:eastAsia="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776" w:type="dxa"/>
            <w:vAlign w:val="center"/>
          </w:tcPr>
          <w:p>
            <w:pPr>
              <w:jc w:val="center"/>
              <w:rPr>
                <w:rFonts w:ascii="宋体" w:hAnsi="宋体" w:eastAsia="宋体" w:cs="宋体"/>
                <w:color w:val="auto"/>
                <w:highlight w:val="none"/>
              </w:rPr>
            </w:pPr>
            <w:r>
              <w:rPr>
                <w:rFonts w:hint="eastAsia" w:ascii="宋体" w:hAnsi="宋体" w:eastAsia="宋体" w:cs="宋体"/>
                <w:color w:val="auto"/>
                <w:highlight w:val="none"/>
              </w:rPr>
              <w:t>4</w:t>
            </w:r>
          </w:p>
        </w:tc>
        <w:tc>
          <w:tcPr>
            <w:tcW w:w="1131" w:type="dxa"/>
            <w:vAlign w:val="center"/>
          </w:tcPr>
          <w:p>
            <w:pPr>
              <w:jc w:val="center"/>
              <w:rPr>
                <w:rFonts w:ascii="宋体" w:hAnsi="宋体" w:eastAsia="宋体" w:cs="宋体"/>
                <w:color w:val="auto"/>
                <w:highlight w:val="none"/>
              </w:rPr>
            </w:pPr>
          </w:p>
        </w:tc>
        <w:tc>
          <w:tcPr>
            <w:tcW w:w="714" w:type="dxa"/>
            <w:vAlign w:val="center"/>
          </w:tcPr>
          <w:p>
            <w:pPr>
              <w:jc w:val="center"/>
              <w:rPr>
                <w:rFonts w:ascii="宋体" w:hAnsi="宋体" w:eastAsia="宋体" w:cs="宋体"/>
                <w:color w:val="auto"/>
                <w:highlight w:val="none"/>
              </w:rPr>
            </w:pPr>
          </w:p>
        </w:tc>
        <w:tc>
          <w:tcPr>
            <w:tcW w:w="930" w:type="dxa"/>
            <w:vAlign w:val="center"/>
          </w:tcPr>
          <w:p>
            <w:pPr>
              <w:jc w:val="center"/>
              <w:rPr>
                <w:rFonts w:ascii="宋体" w:hAnsi="宋体" w:eastAsia="宋体" w:cs="宋体"/>
                <w:color w:val="auto"/>
                <w:highlight w:val="none"/>
              </w:rPr>
            </w:pPr>
          </w:p>
        </w:tc>
        <w:tc>
          <w:tcPr>
            <w:tcW w:w="931" w:type="dxa"/>
            <w:vAlign w:val="center"/>
          </w:tcPr>
          <w:p>
            <w:pPr>
              <w:jc w:val="center"/>
              <w:rPr>
                <w:rFonts w:ascii="宋体" w:hAnsi="宋体" w:eastAsia="宋体" w:cs="宋体"/>
                <w:color w:val="auto"/>
                <w:highlight w:val="none"/>
              </w:rPr>
            </w:pPr>
          </w:p>
        </w:tc>
        <w:tc>
          <w:tcPr>
            <w:tcW w:w="1508" w:type="dxa"/>
            <w:vAlign w:val="center"/>
          </w:tcPr>
          <w:p>
            <w:pPr>
              <w:jc w:val="center"/>
              <w:rPr>
                <w:rFonts w:ascii="宋体" w:hAnsi="宋体" w:eastAsia="宋体" w:cs="宋体"/>
                <w:color w:val="auto"/>
                <w:highlight w:val="none"/>
              </w:rPr>
            </w:pPr>
          </w:p>
        </w:tc>
        <w:tc>
          <w:tcPr>
            <w:tcW w:w="1482" w:type="dxa"/>
            <w:vAlign w:val="center"/>
          </w:tcPr>
          <w:p>
            <w:pPr>
              <w:jc w:val="center"/>
              <w:rPr>
                <w:rFonts w:ascii="宋体" w:hAnsi="宋体" w:eastAsia="宋体" w:cs="宋体"/>
                <w:color w:val="auto"/>
                <w:highlight w:val="none"/>
              </w:rPr>
            </w:pPr>
          </w:p>
        </w:tc>
        <w:tc>
          <w:tcPr>
            <w:tcW w:w="1681" w:type="dxa"/>
            <w:vAlign w:val="center"/>
          </w:tcPr>
          <w:p>
            <w:pPr>
              <w:jc w:val="center"/>
              <w:rPr>
                <w:rFonts w:ascii="宋体" w:hAnsi="宋体" w:eastAsia="宋体" w:cs="宋体"/>
                <w:color w:val="auto"/>
                <w:highlight w:val="none"/>
              </w:rPr>
            </w:pPr>
            <w:r>
              <w:rPr>
                <w:rFonts w:hint="eastAsia" w:ascii="宋体" w:hAnsi="宋体" w:eastAsia="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776" w:type="dxa"/>
            <w:vAlign w:val="center"/>
          </w:tcPr>
          <w:p>
            <w:pPr>
              <w:jc w:val="center"/>
              <w:rPr>
                <w:rFonts w:ascii="宋体" w:hAnsi="宋体" w:eastAsia="宋体" w:cs="宋体"/>
                <w:color w:val="auto"/>
                <w:highlight w:val="none"/>
              </w:rPr>
            </w:pPr>
            <w:r>
              <w:rPr>
                <w:rFonts w:hint="eastAsia" w:ascii="宋体" w:hAnsi="宋体" w:eastAsia="宋体" w:cs="宋体"/>
                <w:color w:val="auto"/>
                <w:highlight w:val="none"/>
              </w:rPr>
              <w:t>5</w:t>
            </w:r>
          </w:p>
        </w:tc>
        <w:tc>
          <w:tcPr>
            <w:tcW w:w="1131" w:type="dxa"/>
            <w:vAlign w:val="center"/>
          </w:tcPr>
          <w:p>
            <w:pPr>
              <w:jc w:val="center"/>
              <w:rPr>
                <w:rFonts w:ascii="宋体" w:hAnsi="宋体" w:eastAsia="宋体" w:cs="宋体"/>
                <w:color w:val="auto"/>
                <w:highlight w:val="none"/>
              </w:rPr>
            </w:pPr>
          </w:p>
        </w:tc>
        <w:tc>
          <w:tcPr>
            <w:tcW w:w="714" w:type="dxa"/>
            <w:vAlign w:val="center"/>
          </w:tcPr>
          <w:p>
            <w:pPr>
              <w:jc w:val="center"/>
              <w:rPr>
                <w:rFonts w:ascii="宋体" w:hAnsi="宋体" w:eastAsia="宋体" w:cs="宋体"/>
                <w:color w:val="auto"/>
                <w:highlight w:val="none"/>
              </w:rPr>
            </w:pPr>
          </w:p>
        </w:tc>
        <w:tc>
          <w:tcPr>
            <w:tcW w:w="930" w:type="dxa"/>
            <w:vAlign w:val="center"/>
          </w:tcPr>
          <w:p>
            <w:pPr>
              <w:jc w:val="center"/>
              <w:rPr>
                <w:rFonts w:ascii="宋体" w:hAnsi="宋体" w:eastAsia="宋体" w:cs="宋体"/>
                <w:color w:val="auto"/>
                <w:highlight w:val="none"/>
              </w:rPr>
            </w:pPr>
          </w:p>
        </w:tc>
        <w:tc>
          <w:tcPr>
            <w:tcW w:w="931" w:type="dxa"/>
            <w:vAlign w:val="center"/>
          </w:tcPr>
          <w:p>
            <w:pPr>
              <w:jc w:val="center"/>
              <w:rPr>
                <w:rFonts w:ascii="宋体" w:hAnsi="宋体" w:eastAsia="宋体" w:cs="宋体"/>
                <w:color w:val="auto"/>
                <w:highlight w:val="none"/>
              </w:rPr>
            </w:pPr>
          </w:p>
        </w:tc>
        <w:tc>
          <w:tcPr>
            <w:tcW w:w="1508" w:type="dxa"/>
            <w:vAlign w:val="center"/>
          </w:tcPr>
          <w:p>
            <w:pPr>
              <w:jc w:val="center"/>
              <w:rPr>
                <w:rFonts w:ascii="宋体" w:hAnsi="宋体" w:eastAsia="宋体" w:cs="宋体"/>
                <w:color w:val="auto"/>
                <w:highlight w:val="none"/>
              </w:rPr>
            </w:pPr>
          </w:p>
        </w:tc>
        <w:tc>
          <w:tcPr>
            <w:tcW w:w="1482" w:type="dxa"/>
            <w:vAlign w:val="center"/>
          </w:tcPr>
          <w:p>
            <w:pPr>
              <w:jc w:val="center"/>
              <w:rPr>
                <w:rFonts w:ascii="宋体" w:hAnsi="宋体" w:eastAsia="宋体" w:cs="宋体"/>
                <w:color w:val="auto"/>
                <w:highlight w:val="none"/>
              </w:rPr>
            </w:pPr>
          </w:p>
        </w:tc>
        <w:tc>
          <w:tcPr>
            <w:tcW w:w="1681" w:type="dxa"/>
            <w:vAlign w:val="center"/>
          </w:tcPr>
          <w:p>
            <w:pPr>
              <w:jc w:val="center"/>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776" w:type="dxa"/>
            <w:vAlign w:val="center"/>
          </w:tcPr>
          <w:p>
            <w:pPr>
              <w:jc w:val="center"/>
              <w:rPr>
                <w:rFonts w:ascii="宋体" w:hAnsi="宋体" w:eastAsia="宋体" w:cs="宋体"/>
                <w:color w:val="auto"/>
                <w:highlight w:val="none"/>
              </w:rPr>
            </w:pPr>
          </w:p>
        </w:tc>
        <w:tc>
          <w:tcPr>
            <w:tcW w:w="1131" w:type="dxa"/>
            <w:vAlign w:val="center"/>
          </w:tcPr>
          <w:p>
            <w:pPr>
              <w:jc w:val="center"/>
              <w:rPr>
                <w:rFonts w:ascii="宋体" w:hAnsi="宋体" w:eastAsia="宋体" w:cs="宋体"/>
                <w:color w:val="auto"/>
                <w:highlight w:val="none"/>
              </w:rPr>
            </w:pPr>
          </w:p>
        </w:tc>
        <w:tc>
          <w:tcPr>
            <w:tcW w:w="714" w:type="dxa"/>
            <w:vAlign w:val="center"/>
          </w:tcPr>
          <w:p>
            <w:pPr>
              <w:jc w:val="center"/>
              <w:rPr>
                <w:rFonts w:ascii="宋体" w:hAnsi="宋体" w:eastAsia="宋体" w:cs="宋体"/>
                <w:color w:val="auto"/>
                <w:highlight w:val="none"/>
              </w:rPr>
            </w:pPr>
          </w:p>
        </w:tc>
        <w:tc>
          <w:tcPr>
            <w:tcW w:w="930" w:type="dxa"/>
            <w:vAlign w:val="center"/>
          </w:tcPr>
          <w:p>
            <w:pPr>
              <w:jc w:val="center"/>
              <w:rPr>
                <w:rFonts w:ascii="宋体" w:hAnsi="宋体" w:eastAsia="宋体" w:cs="宋体"/>
                <w:color w:val="auto"/>
                <w:highlight w:val="none"/>
              </w:rPr>
            </w:pPr>
          </w:p>
        </w:tc>
        <w:tc>
          <w:tcPr>
            <w:tcW w:w="931" w:type="dxa"/>
            <w:vAlign w:val="center"/>
          </w:tcPr>
          <w:p>
            <w:pPr>
              <w:jc w:val="center"/>
              <w:rPr>
                <w:rFonts w:ascii="宋体" w:hAnsi="宋体" w:eastAsia="宋体" w:cs="宋体"/>
                <w:color w:val="auto"/>
                <w:highlight w:val="none"/>
              </w:rPr>
            </w:pPr>
          </w:p>
        </w:tc>
        <w:tc>
          <w:tcPr>
            <w:tcW w:w="1508" w:type="dxa"/>
            <w:vAlign w:val="center"/>
          </w:tcPr>
          <w:p>
            <w:pPr>
              <w:jc w:val="center"/>
              <w:rPr>
                <w:rFonts w:ascii="宋体" w:hAnsi="宋体" w:eastAsia="宋体" w:cs="宋体"/>
                <w:color w:val="auto"/>
                <w:highlight w:val="none"/>
              </w:rPr>
            </w:pPr>
          </w:p>
        </w:tc>
        <w:tc>
          <w:tcPr>
            <w:tcW w:w="1482" w:type="dxa"/>
            <w:vAlign w:val="center"/>
          </w:tcPr>
          <w:p>
            <w:pPr>
              <w:jc w:val="center"/>
              <w:rPr>
                <w:rFonts w:ascii="宋体" w:hAnsi="宋体" w:eastAsia="宋体" w:cs="宋体"/>
                <w:color w:val="auto"/>
                <w:highlight w:val="none"/>
              </w:rPr>
            </w:pPr>
          </w:p>
        </w:tc>
        <w:tc>
          <w:tcPr>
            <w:tcW w:w="1681" w:type="dxa"/>
            <w:vAlign w:val="center"/>
          </w:tcPr>
          <w:p>
            <w:pPr>
              <w:jc w:val="center"/>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776" w:type="dxa"/>
            <w:vAlign w:val="center"/>
          </w:tcPr>
          <w:p>
            <w:pPr>
              <w:jc w:val="center"/>
              <w:rPr>
                <w:rFonts w:ascii="宋体" w:hAnsi="宋体" w:eastAsia="宋体" w:cs="宋体"/>
                <w:color w:val="auto"/>
                <w:highlight w:val="none"/>
              </w:rPr>
            </w:pPr>
          </w:p>
        </w:tc>
        <w:tc>
          <w:tcPr>
            <w:tcW w:w="1131" w:type="dxa"/>
            <w:vAlign w:val="center"/>
          </w:tcPr>
          <w:p>
            <w:pPr>
              <w:jc w:val="center"/>
              <w:rPr>
                <w:rFonts w:ascii="宋体" w:hAnsi="宋体" w:eastAsia="宋体" w:cs="宋体"/>
                <w:color w:val="auto"/>
                <w:highlight w:val="none"/>
              </w:rPr>
            </w:pPr>
          </w:p>
        </w:tc>
        <w:tc>
          <w:tcPr>
            <w:tcW w:w="714" w:type="dxa"/>
            <w:vAlign w:val="center"/>
          </w:tcPr>
          <w:p>
            <w:pPr>
              <w:jc w:val="center"/>
              <w:rPr>
                <w:rFonts w:ascii="宋体" w:hAnsi="宋体" w:eastAsia="宋体" w:cs="宋体"/>
                <w:color w:val="auto"/>
                <w:highlight w:val="none"/>
              </w:rPr>
            </w:pPr>
          </w:p>
        </w:tc>
        <w:tc>
          <w:tcPr>
            <w:tcW w:w="930" w:type="dxa"/>
            <w:vAlign w:val="center"/>
          </w:tcPr>
          <w:p>
            <w:pPr>
              <w:jc w:val="center"/>
              <w:rPr>
                <w:rFonts w:ascii="宋体" w:hAnsi="宋体" w:eastAsia="宋体" w:cs="宋体"/>
                <w:color w:val="auto"/>
                <w:highlight w:val="none"/>
              </w:rPr>
            </w:pPr>
          </w:p>
        </w:tc>
        <w:tc>
          <w:tcPr>
            <w:tcW w:w="931" w:type="dxa"/>
            <w:vAlign w:val="center"/>
          </w:tcPr>
          <w:p>
            <w:pPr>
              <w:jc w:val="center"/>
              <w:rPr>
                <w:rFonts w:ascii="宋体" w:hAnsi="宋体" w:eastAsia="宋体" w:cs="宋体"/>
                <w:color w:val="auto"/>
                <w:highlight w:val="none"/>
              </w:rPr>
            </w:pPr>
          </w:p>
        </w:tc>
        <w:tc>
          <w:tcPr>
            <w:tcW w:w="1508" w:type="dxa"/>
            <w:vAlign w:val="center"/>
          </w:tcPr>
          <w:p>
            <w:pPr>
              <w:jc w:val="center"/>
              <w:rPr>
                <w:rFonts w:ascii="宋体" w:hAnsi="宋体" w:eastAsia="宋体" w:cs="宋体"/>
                <w:color w:val="auto"/>
                <w:highlight w:val="none"/>
              </w:rPr>
            </w:pPr>
          </w:p>
        </w:tc>
        <w:tc>
          <w:tcPr>
            <w:tcW w:w="1482" w:type="dxa"/>
            <w:vAlign w:val="center"/>
          </w:tcPr>
          <w:p>
            <w:pPr>
              <w:jc w:val="center"/>
              <w:rPr>
                <w:rFonts w:ascii="宋体" w:hAnsi="宋体" w:eastAsia="宋体" w:cs="宋体"/>
                <w:color w:val="auto"/>
                <w:highlight w:val="none"/>
              </w:rPr>
            </w:pPr>
          </w:p>
        </w:tc>
        <w:tc>
          <w:tcPr>
            <w:tcW w:w="1681" w:type="dxa"/>
            <w:vAlign w:val="center"/>
          </w:tcPr>
          <w:p>
            <w:pPr>
              <w:jc w:val="center"/>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776" w:type="dxa"/>
            <w:vAlign w:val="center"/>
          </w:tcPr>
          <w:p>
            <w:pPr>
              <w:jc w:val="center"/>
              <w:rPr>
                <w:rFonts w:ascii="宋体" w:hAnsi="宋体" w:eastAsia="宋体" w:cs="宋体"/>
                <w:color w:val="auto"/>
                <w:highlight w:val="none"/>
              </w:rPr>
            </w:pPr>
          </w:p>
        </w:tc>
        <w:tc>
          <w:tcPr>
            <w:tcW w:w="1131" w:type="dxa"/>
            <w:vAlign w:val="center"/>
          </w:tcPr>
          <w:p>
            <w:pPr>
              <w:jc w:val="center"/>
              <w:rPr>
                <w:rFonts w:ascii="宋体" w:hAnsi="宋体" w:eastAsia="宋体" w:cs="宋体"/>
                <w:color w:val="auto"/>
                <w:highlight w:val="none"/>
              </w:rPr>
            </w:pPr>
          </w:p>
        </w:tc>
        <w:tc>
          <w:tcPr>
            <w:tcW w:w="714" w:type="dxa"/>
            <w:vAlign w:val="center"/>
          </w:tcPr>
          <w:p>
            <w:pPr>
              <w:jc w:val="center"/>
              <w:rPr>
                <w:rFonts w:ascii="宋体" w:hAnsi="宋体" w:eastAsia="宋体" w:cs="宋体"/>
                <w:color w:val="auto"/>
                <w:highlight w:val="none"/>
              </w:rPr>
            </w:pPr>
          </w:p>
        </w:tc>
        <w:tc>
          <w:tcPr>
            <w:tcW w:w="930" w:type="dxa"/>
            <w:vAlign w:val="center"/>
          </w:tcPr>
          <w:p>
            <w:pPr>
              <w:jc w:val="center"/>
              <w:rPr>
                <w:rFonts w:ascii="宋体" w:hAnsi="宋体" w:eastAsia="宋体" w:cs="宋体"/>
                <w:color w:val="auto"/>
                <w:highlight w:val="none"/>
              </w:rPr>
            </w:pPr>
          </w:p>
        </w:tc>
        <w:tc>
          <w:tcPr>
            <w:tcW w:w="931" w:type="dxa"/>
            <w:vAlign w:val="center"/>
          </w:tcPr>
          <w:p>
            <w:pPr>
              <w:jc w:val="center"/>
              <w:rPr>
                <w:rFonts w:ascii="宋体" w:hAnsi="宋体" w:eastAsia="宋体" w:cs="宋体"/>
                <w:color w:val="auto"/>
                <w:highlight w:val="none"/>
              </w:rPr>
            </w:pPr>
          </w:p>
        </w:tc>
        <w:tc>
          <w:tcPr>
            <w:tcW w:w="1508" w:type="dxa"/>
            <w:vAlign w:val="center"/>
          </w:tcPr>
          <w:p>
            <w:pPr>
              <w:jc w:val="center"/>
              <w:rPr>
                <w:rFonts w:ascii="宋体" w:hAnsi="宋体" w:eastAsia="宋体" w:cs="宋体"/>
                <w:color w:val="auto"/>
                <w:highlight w:val="none"/>
              </w:rPr>
            </w:pPr>
          </w:p>
        </w:tc>
        <w:tc>
          <w:tcPr>
            <w:tcW w:w="1482" w:type="dxa"/>
            <w:vAlign w:val="center"/>
          </w:tcPr>
          <w:p>
            <w:pPr>
              <w:jc w:val="center"/>
              <w:rPr>
                <w:rFonts w:ascii="宋体" w:hAnsi="宋体" w:eastAsia="宋体" w:cs="宋体"/>
                <w:color w:val="auto"/>
                <w:highlight w:val="none"/>
              </w:rPr>
            </w:pPr>
          </w:p>
        </w:tc>
        <w:tc>
          <w:tcPr>
            <w:tcW w:w="1681" w:type="dxa"/>
            <w:vAlign w:val="center"/>
          </w:tcPr>
          <w:p>
            <w:pPr>
              <w:jc w:val="center"/>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776" w:type="dxa"/>
            <w:vAlign w:val="center"/>
          </w:tcPr>
          <w:p>
            <w:pPr>
              <w:jc w:val="center"/>
              <w:rPr>
                <w:rFonts w:ascii="宋体" w:hAnsi="宋体" w:eastAsia="宋体" w:cs="宋体"/>
                <w:color w:val="auto"/>
                <w:highlight w:val="none"/>
              </w:rPr>
            </w:pPr>
          </w:p>
        </w:tc>
        <w:tc>
          <w:tcPr>
            <w:tcW w:w="1131" w:type="dxa"/>
            <w:vAlign w:val="center"/>
          </w:tcPr>
          <w:p>
            <w:pPr>
              <w:jc w:val="center"/>
              <w:rPr>
                <w:rFonts w:ascii="宋体" w:hAnsi="宋体" w:eastAsia="宋体" w:cs="宋体"/>
                <w:color w:val="auto"/>
                <w:highlight w:val="none"/>
              </w:rPr>
            </w:pPr>
          </w:p>
        </w:tc>
        <w:tc>
          <w:tcPr>
            <w:tcW w:w="714" w:type="dxa"/>
            <w:vAlign w:val="center"/>
          </w:tcPr>
          <w:p>
            <w:pPr>
              <w:jc w:val="center"/>
              <w:rPr>
                <w:rFonts w:ascii="宋体" w:hAnsi="宋体" w:eastAsia="宋体" w:cs="宋体"/>
                <w:color w:val="auto"/>
                <w:highlight w:val="none"/>
              </w:rPr>
            </w:pPr>
          </w:p>
        </w:tc>
        <w:tc>
          <w:tcPr>
            <w:tcW w:w="930" w:type="dxa"/>
            <w:vAlign w:val="center"/>
          </w:tcPr>
          <w:p>
            <w:pPr>
              <w:jc w:val="center"/>
              <w:rPr>
                <w:rFonts w:ascii="宋体" w:hAnsi="宋体" w:eastAsia="宋体" w:cs="宋体"/>
                <w:color w:val="auto"/>
                <w:highlight w:val="none"/>
              </w:rPr>
            </w:pPr>
          </w:p>
        </w:tc>
        <w:tc>
          <w:tcPr>
            <w:tcW w:w="931" w:type="dxa"/>
            <w:vAlign w:val="center"/>
          </w:tcPr>
          <w:p>
            <w:pPr>
              <w:jc w:val="center"/>
              <w:rPr>
                <w:rFonts w:ascii="宋体" w:hAnsi="宋体" w:eastAsia="宋体" w:cs="宋体"/>
                <w:color w:val="auto"/>
                <w:highlight w:val="none"/>
              </w:rPr>
            </w:pPr>
          </w:p>
        </w:tc>
        <w:tc>
          <w:tcPr>
            <w:tcW w:w="1508" w:type="dxa"/>
            <w:vAlign w:val="center"/>
          </w:tcPr>
          <w:p>
            <w:pPr>
              <w:jc w:val="center"/>
              <w:rPr>
                <w:rFonts w:ascii="宋体" w:hAnsi="宋体" w:eastAsia="宋体" w:cs="宋体"/>
                <w:color w:val="auto"/>
                <w:highlight w:val="none"/>
              </w:rPr>
            </w:pPr>
          </w:p>
        </w:tc>
        <w:tc>
          <w:tcPr>
            <w:tcW w:w="1482" w:type="dxa"/>
            <w:vAlign w:val="center"/>
          </w:tcPr>
          <w:p>
            <w:pPr>
              <w:jc w:val="center"/>
              <w:rPr>
                <w:rFonts w:ascii="宋体" w:hAnsi="宋体" w:eastAsia="宋体" w:cs="宋体"/>
                <w:color w:val="auto"/>
                <w:highlight w:val="none"/>
              </w:rPr>
            </w:pPr>
          </w:p>
        </w:tc>
        <w:tc>
          <w:tcPr>
            <w:tcW w:w="1681" w:type="dxa"/>
            <w:vAlign w:val="center"/>
          </w:tcPr>
          <w:p>
            <w:pPr>
              <w:jc w:val="center"/>
              <w:rPr>
                <w:rFonts w:ascii="宋体" w:hAnsi="宋体" w:eastAsia="宋体" w:cs="宋体"/>
                <w:color w:val="auto"/>
                <w:highlight w:val="none"/>
              </w:rPr>
            </w:pPr>
          </w:p>
        </w:tc>
      </w:tr>
    </w:tbl>
    <w:p>
      <w:pPr>
        <w:ind w:firstLine="480"/>
        <w:rPr>
          <w:rFonts w:ascii="宋体" w:hAnsi="宋体" w:eastAsia="宋体" w:cs="宋体"/>
          <w:color w:val="auto"/>
          <w:highlight w:val="none"/>
        </w:rPr>
      </w:pPr>
    </w:p>
    <w:p>
      <w:pPr>
        <w:pStyle w:val="10"/>
        <w:ind w:left="0" w:leftChars="0"/>
        <w:rPr>
          <w:rFonts w:ascii="宋体" w:hAnsi="宋体" w:eastAsia="宋体" w:cs="宋体"/>
          <w:bCs/>
          <w:color w:val="auto"/>
          <w:sz w:val="24"/>
          <w:highlight w:val="none"/>
        </w:rPr>
      </w:pPr>
      <w:r>
        <w:rPr>
          <w:rFonts w:hint="eastAsia" w:ascii="宋体" w:hAnsi="宋体" w:eastAsia="宋体" w:cs="宋体"/>
          <w:bCs/>
          <w:color w:val="auto"/>
          <w:sz w:val="24"/>
          <w:highlight w:val="none"/>
        </w:rPr>
        <w:t xml:space="preserve">供应商：                      (加盖单位公章)  </w:t>
      </w:r>
    </w:p>
    <w:p>
      <w:pPr>
        <w:pStyle w:val="10"/>
        <w:ind w:left="0" w:leftChars="0"/>
        <w:rPr>
          <w:rFonts w:ascii="宋体" w:hAnsi="宋体" w:eastAsia="宋体" w:cs="宋体"/>
          <w:bCs/>
          <w:color w:val="auto"/>
          <w:sz w:val="24"/>
          <w:highlight w:val="none"/>
        </w:rPr>
      </w:pPr>
      <w:r>
        <w:rPr>
          <w:rFonts w:hint="eastAsia" w:ascii="宋体" w:hAnsi="宋体" w:eastAsia="宋体" w:cs="宋体"/>
          <w:bCs/>
          <w:color w:val="auto"/>
          <w:sz w:val="24"/>
          <w:highlight w:val="none"/>
        </w:rPr>
        <w:t xml:space="preserve">法定代表人或被授权人            (签字或盖章) </w:t>
      </w:r>
    </w:p>
    <w:p>
      <w:pPr>
        <w:pStyle w:val="10"/>
        <w:ind w:left="0" w:leftChars="0"/>
        <w:jc w:val="right"/>
        <w:rPr>
          <w:rFonts w:ascii="宋体" w:hAnsi="宋体" w:eastAsia="宋体" w:cs="宋体"/>
          <w:bCs/>
          <w:color w:val="auto"/>
          <w:sz w:val="24"/>
          <w:highlight w:val="none"/>
        </w:rPr>
      </w:pPr>
      <w:r>
        <w:rPr>
          <w:rFonts w:hint="eastAsia" w:ascii="宋体" w:hAnsi="宋体" w:eastAsia="宋体" w:cs="宋体"/>
          <w:bCs/>
          <w:color w:val="auto"/>
          <w:sz w:val="24"/>
          <w:highlight w:val="none"/>
        </w:rPr>
        <w:t>日     期：         年         月         日</w:t>
      </w:r>
    </w:p>
    <w:p>
      <w:pPr>
        <w:rPr>
          <w:rFonts w:ascii="宋体" w:hAnsi="宋体" w:eastAsia="宋体" w:cs="宋体"/>
          <w:color w:val="auto"/>
          <w:sz w:val="24"/>
          <w:highlight w:val="none"/>
        </w:rPr>
      </w:pPr>
      <w:r>
        <w:rPr>
          <w:rFonts w:hint="eastAsia" w:ascii="宋体" w:hAnsi="宋体" w:eastAsia="宋体" w:cs="宋体"/>
          <w:color w:val="auto"/>
          <w:sz w:val="24"/>
          <w:highlight w:val="none"/>
        </w:rPr>
        <w:t>备注：</w:t>
      </w:r>
      <w:r>
        <w:rPr>
          <w:rFonts w:hint="eastAsia" w:ascii="宋体" w:hAnsi="宋体" w:eastAsia="宋体" w:cs="宋体"/>
          <w:b/>
          <w:color w:val="auto"/>
          <w:sz w:val="24"/>
          <w:highlight w:val="none"/>
        </w:rPr>
        <w:t>需随此表附上相关人员的身份证、学历证明、职称证及专业资格证书（上岗证书）等相关资料的复印件。</w:t>
      </w:r>
    </w:p>
    <w:p>
      <w:pPr>
        <w:ind w:firstLine="482" w:firstLineChars="200"/>
        <w:rPr>
          <w:rFonts w:ascii="宋体" w:hAnsi="宋体" w:eastAsia="宋体" w:cs="宋体"/>
          <w:b/>
          <w:bCs/>
          <w:color w:val="auto"/>
          <w:sz w:val="24"/>
          <w:highlight w:val="none"/>
        </w:rPr>
      </w:pPr>
    </w:p>
    <w:p>
      <w:pPr>
        <w:ind w:firstLine="482" w:firstLineChars="200"/>
        <w:rPr>
          <w:rFonts w:ascii="宋体" w:hAnsi="宋体" w:eastAsia="宋体" w:cs="宋体"/>
          <w:b/>
          <w:bCs/>
          <w:color w:val="auto"/>
          <w:sz w:val="24"/>
          <w:highlight w:val="none"/>
        </w:rPr>
      </w:pPr>
    </w:p>
    <w:p>
      <w:pPr>
        <w:pStyle w:val="5"/>
        <w:tabs>
          <w:tab w:val="left" w:pos="960"/>
        </w:tabs>
        <w:jc w:val="left"/>
        <w:rPr>
          <w:rFonts w:ascii="宋体" w:hAnsi="宋体" w:eastAsia="宋体" w:cs="宋体"/>
          <w:color w:val="auto"/>
          <w:highlight w:val="none"/>
        </w:rPr>
      </w:pPr>
    </w:p>
    <w:p>
      <w:pPr>
        <w:pStyle w:val="39"/>
        <w:spacing w:line="360" w:lineRule="auto"/>
        <w:rPr>
          <w:rFonts w:ascii="宋体" w:hAnsi="宋体" w:eastAsia="宋体" w:cs="宋体"/>
          <w:color w:val="auto"/>
          <w:highlight w:val="none"/>
        </w:rPr>
      </w:pPr>
      <w:r>
        <w:rPr>
          <w:rFonts w:hint="eastAsia" w:ascii="宋体" w:hAnsi="宋体" w:eastAsia="宋体" w:cs="宋体"/>
          <w:b/>
          <w:bCs/>
          <w:color w:val="auto"/>
          <w:sz w:val="24"/>
          <w:highlight w:val="none"/>
        </w:rPr>
        <w:br w:type="page"/>
      </w:r>
    </w:p>
    <w:bookmarkEnd w:id="122"/>
    <w:bookmarkEnd w:id="123"/>
    <w:bookmarkEnd w:id="124"/>
    <w:bookmarkEnd w:id="125"/>
    <w:bookmarkEnd w:id="126"/>
    <w:bookmarkEnd w:id="127"/>
    <w:bookmarkEnd w:id="128"/>
    <w:bookmarkEnd w:id="129"/>
    <w:p>
      <w:pPr>
        <w:pStyle w:val="4"/>
        <w:jc w:val="center"/>
        <w:rPr>
          <w:rFonts w:ascii="宋体" w:hAnsi="宋体" w:eastAsia="宋体" w:cs="宋体"/>
          <w:color w:val="auto"/>
          <w:highlight w:val="none"/>
        </w:rPr>
      </w:pPr>
      <w:bookmarkStart w:id="130" w:name="_Toc247085890"/>
      <w:bookmarkStart w:id="131" w:name="_Toc144974875"/>
      <w:bookmarkStart w:id="132" w:name="_Toc152042596"/>
      <w:bookmarkStart w:id="133" w:name="_Toc296602617"/>
      <w:bookmarkStart w:id="134" w:name="_Toc246997115"/>
      <w:bookmarkStart w:id="135" w:name="_Toc152045807"/>
      <w:bookmarkStart w:id="136" w:name="_Toc246996372"/>
      <w:bookmarkStart w:id="137" w:name="_Toc179632827"/>
      <w:r>
        <w:rPr>
          <w:rFonts w:hint="eastAsia" w:ascii="宋体" w:hAnsi="宋体" w:eastAsia="宋体" w:cs="宋体"/>
          <w:color w:val="auto"/>
          <w:highlight w:val="none"/>
        </w:rPr>
        <w:t>五、资格审查资料</w:t>
      </w:r>
      <w:bookmarkEnd w:id="130"/>
      <w:bookmarkEnd w:id="131"/>
      <w:bookmarkEnd w:id="132"/>
      <w:bookmarkEnd w:id="133"/>
      <w:bookmarkEnd w:id="134"/>
      <w:bookmarkEnd w:id="135"/>
      <w:bookmarkEnd w:id="136"/>
      <w:bookmarkEnd w:id="137"/>
    </w:p>
    <w:p>
      <w:pPr>
        <w:pStyle w:val="5"/>
        <w:jc w:val="center"/>
        <w:rPr>
          <w:rFonts w:ascii="宋体" w:hAnsi="宋体" w:eastAsia="宋体" w:cs="宋体"/>
          <w:color w:val="auto"/>
          <w:highlight w:val="none"/>
        </w:rPr>
      </w:pPr>
      <w:bookmarkStart w:id="138" w:name="_Toc144974876"/>
      <w:bookmarkStart w:id="139" w:name="_Toc179632828"/>
      <w:bookmarkStart w:id="140" w:name="_Toc246996373"/>
      <w:bookmarkStart w:id="141" w:name="_Toc152042597"/>
      <w:bookmarkStart w:id="142" w:name="_Toc246997116"/>
      <w:bookmarkStart w:id="143" w:name="_Toc247085891"/>
      <w:bookmarkStart w:id="144" w:name="_Toc152045808"/>
      <w:bookmarkStart w:id="145" w:name="_Toc296602618"/>
      <w:r>
        <w:rPr>
          <w:rFonts w:hint="eastAsia" w:ascii="宋体" w:hAnsi="宋体" w:eastAsia="宋体" w:cs="宋体"/>
          <w:color w:val="auto"/>
          <w:highlight w:val="none"/>
        </w:rPr>
        <w:t>（一）基本情况表</w:t>
      </w:r>
      <w:bookmarkEnd w:id="138"/>
      <w:bookmarkEnd w:id="139"/>
      <w:bookmarkEnd w:id="140"/>
      <w:bookmarkEnd w:id="141"/>
      <w:bookmarkEnd w:id="142"/>
      <w:bookmarkEnd w:id="143"/>
      <w:bookmarkEnd w:id="144"/>
      <w:bookmarkEnd w:id="145"/>
    </w:p>
    <w:tbl>
      <w:tblPr>
        <w:tblStyle w:val="20"/>
        <w:tblW w:w="984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4"/>
        <w:gridCol w:w="1032"/>
        <w:gridCol w:w="1092"/>
        <w:gridCol w:w="964"/>
        <w:gridCol w:w="483"/>
        <w:gridCol w:w="356"/>
        <w:gridCol w:w="1238"/>
        <w:gridCol w:w="563"/>
        <w:gridCol w:w="988"/>
        <w:gridCol w:w="11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19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名称</w:t>
            </w:r>
          </w:p>
        </w:tc>
        <w:tc>
          <w:tcPr>
            <w:tcW w:w="7856"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19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注册地址</w:t>
            </w:r>
          </w:p>
        </w:tc>
        <w:tc>
          <w:tcPr>
            <w:tcW w:w="3927"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sz w:val="24"/>
                <w:highlight w:val="none"/>
              </w:rPr>
            </w:pPr>
          </w:p>
        </w:tc>
        <w:tc>
          <w:tcPr>
            <w:tcW w:w="123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邮政编码</w:t>
            </w:r>
          </w:p>
        </w:tc>
        <w:tc>
          <w:tcPr>
            <w:tcW w:w="269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0" w:hRule="atLeast"/>
        </w:trPr>
        <w:tc>
          <w:tcPr>
            <w:tcW w:w="1984"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联系方式</w:t>
            </w:r>
          </w:p>
        </w:tc>
        <w:tc>
          <w:tcPr>
            <w:tcW w:w="10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联系人</w:t>
            </w:r>
          </w:p>
        </w:tc>
        <w:tc>
          <w:tcPr>
            <w:tcW w:w="2895"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sz w:val="24"/>
                <w:highlight w:val="none"/>
              </w:rPr>
            </w:pPr>
          </w:p>
        </w:tc>
        <w:tc>
          <w:tcPr>
            <w:tcW w:w="123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电 话</w:t>
            </w:r>
          </w:p>
        </w:tc>
        <w:tc>
          <w:tcPr>
            <w:tcW w:w="269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7" w:hRule="atLeast"/>
        </w:trPr>
        <w:tc>
          <w:tcPr>
            <w:tcW w:w="1984"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sz w:val="24"/>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传  真</w:t>
            </w:r>
          </w:p>
        </w:tc>
        <w:tc>
          <w:tcPr>
            <w:tcW w:w="2895"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sz w:val="24"/>
                <w:highlight w:val="none"/>
              </w:rPr>
            </w:pPr>
          </w:p>
        </w:tc>
        <w:tc>
          <w:tcPr>
            <w:tcW w:w="123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网 址</w:t>
            </w:r>
          </w:p>
        </w:tc>
        <w:tc>
          <w:tcPr>
            <w:tcW w:w="269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19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组织结构</w:t>
            </w:r>
          </w:p>
        </w:tc>
        <w:tc>
          <w:tcPr>
            <w:tcW w:w="7856"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19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法定代表人</w:t>
            </w:r>
          </w:p>
        </w:tc>
        <w:tc>
          <w:tcPr>
            <w:tcW w:w="10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0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sz w:val="24"/>
                <w:highlight w:val="none"/>
              </w:rPr>
            </w:pPr>
          </w:p>
        </w:tc>
        <w:tc>
          <w:tcPr>
            <w:tcW w:w="144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技术职称</w:t>
            </w:r>
          </w:p>
        </w:tc>
        <w:tc>
          <w:tcPr>
            <w:tcW w:w="2157"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sz w:val="24"/>
                <w:highlight w:val="none"/>
              </w:rPr>
            </w:pPr>
          </w:p>
        </w:tc>
        <w:tc>
          <w:tcPr>
            <w:tcW w:w="98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电话</w:t>
            </w:r>
          </w:p>
        </w:tc>
        <w:tc>
          <w:tcPr>
            <w:tcW w:w="114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19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项目负责人</w:t>
            </w:r>
          </w:p>
        </w:tc>
        <w:tc>
          <w:tcPr>
            <w:tcW w:w="10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0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sz w:val="24"/>
                <w:highlight w:val="none"/>
              </w:rPr>
            </w:pPr>
          </w:p>
        </w:tc>
        <w:tc>
          <w:tcPr>
            <w:tcW w:w="144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技术职称</w:t>
            </w:r>
          </w:p>
        </w:tc>
        <w:tc>
          <w:tcPr>
            <w:tcW w:w="2157"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sz w:val="24"/>
                <w:highlight w:val="none"/>
              </w:rPr>
            </w:pPr>
          </w:p>
        </w:tc>
        <w:tc>
          <w:tcPr>
            <w:tcW w:w="98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电话</w:t>
            </w:r>
          </w:p>
        </w:tc>
        <w:tc>
          <w:tcPr>
            <w:tcW w:w="114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19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成立时间</w:t>
            </w:r>
          </w:p>
        </w:tc>
        <w:tc>
          <w:tcPr>
            <w:tcW w:w="212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sz w:val="24"/>
                <w:highlight w:val="none"/>
              </w:rPr>
            </w:pPr>
          </w:p>
        </w:tc>
        <w:tc>
          <w:tcPr>
            <w:tcW w:w="5732" w:type="dxa"/>
            <w:gridSpan w:val="7"/>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20" w:firstLineChars="50"/>
              <w:jc w:val="center"/>
              <w:rPr>
                <w:rFonts w:ascii="宋体" w:hAnsi="宋体" w:eastAsia="宋体" w:cs="宋体"/>
                <w:color w:val="auto"/>
                <w:sz w:val="24"/>
                <w:highlight w:val="none"/>
              </w:rPr>
            </w:pPr>
            <w:r>
              <w:rPr>
                <w:rFonts w:hint="eastAsia" w:ascii="宋体" w:hAnsi="宋体" w:eastAsia="宋体" w:cs="宋体"/>
                <w:color w:val="auto"/>
                <w:sz w:val="24"/>
                <w:highlight w:val="none"/>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5" w:hRule="atLeast"/>
        </w:trPr>
        <w:tc>
          <w:tcPr>
            <w:tcW w:w="19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企业资质等级</w:t>
            </w:r>
          </w:p>
        </w:tc>
        <w:tc>
          <w:tcPr>
            <w:tcW w:w="212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sz w:val="24"/>
                <w:highlight w:val="none"/>
              </w:rPr>
            </w:pPr>
          </w:p>
        </w:tc>
        <w:tc>
          <w:tcPr>
            <w:tcW w:w="964"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其中</w:t>
            </w:r>
          </w:p>
        </w:tc>
        <w:tc>
          <w:tcPr>
            <w:tcW w:w="264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项目经理</w:t>
            </w:r>
          </w:p>
        </w:tc>
        <w:tc>
          <w:tcPr>
            <w:tcW w:w="212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4" w:hRule="atLeast"/>
        </w:trPr>
        <w:tc>
          <w:tcPr>
            <w:tcW w:w="19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营业执照号</w:t>
            </w:r>
          </w:p>
        </w:tc>
        <w:tc>
          <w:tcPr>
            <w:tcW w:w="212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sz w:val="24"/>
                <w:highlight w:val="none"/>
              </w:rPr>
            </w:pPr>
          </w:p>
        </w:tc>
        <w:tc>
          <w:tcPr>
            <w:tcW w:w="964"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sz w:val="24"/>
                <w:highlight w:val="none"/>
              </w:rPr>
            </w:pPr>
          </w:p>
        </w:tc>
        <w:tc>
          <w:tcPr>
            <w:tcW w:w="264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高级职称人员</w:t>
            </w:r>
          </w:p>
        </w:tc>
        <w:tc>
          <w:tcPr>
            <w:tcW w:w="212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trPr>
        <w:tc>
          <w:tcPr>
            <w:tcW w:w="19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注册资金</w:t>
            </w:r>
          </w:p>
        </w:tc>
        <w:tc>
          <w:tcPr>
            <w:tcW w:w="212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sz w:val="24"/>
                <w:highlight w:val="none"/>
              </w:rPr>
            </w:pPr>
          </w:p>
        </w:tc>
        <w:tc>
          <w:tcPr>
            <w:tcW w:w="964"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sz w:val="24"/>
                <w:highlight w:val="none"/>
              </w:rPr>
            </w:pPr>
          </w:p>
        </w:tc>
        <w:tc>
          <w:tcPr>
            <w:tcW w:w="264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中级职称人员</w:t>
            </w:r>
          </w:p>
        </w:tc>
        <w:tc>
          <w:tcPr>
            <w:tcW w:w="212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8" w:hRule="atLeast"/>
        </w:trPr>
        <w:tc>
          <w:tcPr>
            <w:tcW w:w="19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开户银行</w:t>
            </w:r>
          </w:p>
        </w:tc>
        <w:tc>
          <w:tcPr>
            <w:tcW w:w="212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sz w:val="24"/>
                <w:highlight w:val="none"/>
              </w:rPr>
            </w:pPr>
          </w:p>
        </w:tc>
        <w:tc>
          <w:tcPr>
            <w:tcW w:w="964"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sz w:val="24"/>
                <w:highlight w:val="none"/>
              </w:rPr>
            </w:pPr>
          </w:p>
        </w:tc>
        <w:tc>
          <w:tcPr>
            <w:tcW w:w="264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初级职称人员</w:t>
            </w:r>
          </w:p>
        </w:tc>
        <w:tc>
          <w:tcPr>
            <w:tcW w:w="212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1" w:hRule="atLeast"/>
        </w:trPr>
        <w:tc>
          <w:tcPr>
            <w:tcW w:w="19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账号</w:t>
            </w:r>
          </w:p>
        </w:tc>
        <w:tc>
          <w:tcPr>
            <w:tcW w:w="212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sz w:val="24"/>
                <w:highlight w:val="none"/>
              </w:rPr>
            </w:pPr>
          </w:p>
        </w:tc>
        <w:tc>
          <w:tcPr>
            <w:tcW w:w="964"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sz w:val="24"/>
                <w:highlight w:val="none"/>
              </w:rPr>
            </w:pPr>
          </w:p>
        </w:tc>
        <w:tc>
          <w:tcPr>
            <w:tcW w:w="264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技  工</w:t>
            </w:r>
          </w:p>
        </w:tc>
        <w:tc>
          <w:tcPr>
            <w:tcW w:w="212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984" w:type="dxa"/>
            <w:tcBorders>
              <w:top w:val="single" w:color="auto" w:sz="4" w:space="0"/>
              <w:left w:val="single" w:color="auto" w:sz="4" w:space="0"/>
              <w:right w:val="single" w:color="auto" w:sz="4" w:space="0"/>
            </w:tcBorders>
            <w:vAlign w:val="center"/>
          </w:tcPr>
          <w:p>
            <w:pPr>
              <w:topLinePunct/>
              <w:spacing w:line="440" w:lineRule="exact"/>
              <w:ind w:firstLine="240" w:firstLineChars="100"/>
              <w:jc w:val="center"/>
              <w:rPr>
                <w:rFonts w:ascii="宋体" w:hAnsi="宋体" w:eastAsia="宋体" w:cs="宋体"/>
                <w:color w:val="auto"/>
                <w:sz w:val="24"/>
                <w:highlight w:val="none"/>
              </w:rPr>
            </w:pPr>
            <w:r>
              <w:rPr>
                <w:rFonts w:hint="eastAsia" w:ascii="宋体" w:hAnsi="宋体" w:eastAsia="宋体" w:cs="宋体"/>
                <w:color w:val="auto"/>
                <w:sz w:val="24"/>
                <w:highlight w:val="none"/>
              </w:rPr>
              <w:t>经营范围</w:t>
            </w:r>
          </w:p>
        </w:tc>
        <w:tc>
          <w:tcPr>
            <w:tcW w:w="7856" w:type="dxa"/>
            <w:gridSpan w:val="9"/>
            <w:tcBorders>
              <w:top w:val="single" w:color="auto" w:sz="4" w:space="0"/>
              <w:left w:val="single" w:color="auto" w:sz="4" w:space="0"/>
              <w:right w:val="single" w:color="auto" w:sz="4" w:space="0"/>
            </w:tcBorders>
            <w:vAlign w:val="center"/>
          </w:tcPr>
          <w:p>
            <w:pPr>
              <w:topLinePunct/>
              <w:spacing w:line="440" w:lineRule="exact"/>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19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备注</w:t>
            </w:r>
          </w:p>
        </w:tc>
        <w:tc>
          <w:tcPr>
            <w:tcW w:w="7856"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sz w:val="24"/>
                <w:highlight w:val="none"/>
              </w:rPr>
            </w:pPr>
          </w:p>
        </w:tc>
      </w:tr>
    </w:tbl>
    <w:p>
      <w:pPr>
        <w:spacing w:line="640" w:lineRule="exact"/>
        <w:rPr>
          <w:rFonts w:ascii="宋体" w:hAnsi="宋体" w:eastAsia="宋体" w:cs="宋体"/>
          <w:color w:val="auto"/>
          <w:highlight w:val="none"/>
        </w:rPr>
      </w:pPr>
      <w:bookmarkStart w:id="146" w:name="_Toc247527849"/>
      <w:bookmarkStart w:id="147" w:name="_Toc265953295"/>
      <w:bookmarkStart w:id="148" w:name="_Toc296602619"/>
      <w:bookmarkStart w:id="149" w:name="_Toc152042598"/>
      <w:bookmarkStart w:id="150" w:name="_Toc144974877"/>
      <w:bookmarkStart w:id="151" w:name="_Toc247514301"/>
      <w:bookmarkStart w:id="152" w:name="_Toc152045809"/>
      <w:bookmarkStart w:id="153" w:name="_Toc179632833"/>
      <w:bookmarkStart w:id="154" w:name="_Toc152042602"/>
      <w:bookmarkStart w:id="155" w:name="_Toc152045813"/>
      <w:bookmarkStart w:id="156" w:name="_Toc144974881"/>
      <w:r>
        <w:rPr>
          <w:rFonts w:hint="eastAsia" w:ascii="宋体" w:hAnsi="宋体" w:eastAsia="宋体" w:cs="宋体"/>
          <w:color w:val="auto"/>
          <w:highlight w:val="none"/>
        </w:rPr>
        <w:t xml:space="preserve">  </w:t>
      </w:r>
      <w:r>
        <w:rPr>
          <w:rFonts w:hint="eastAsia" w:ascii="宋体" w:hAnsi="宋体" w:eastAsia="宋体" w:cs="宋体"/>
          <w:color w:val="auto"/>
          <w:sz w:val="24"/>
          <w:highlight w:val="none"/>
        </w:rPr>
        <w:t xml:space="preserve">  应附公司营业执照、资质证书、法人身份证明或授权代表授权委托书及身份证、项目经理执业资格证书和安全生产考核合格证（B类）等资格要求中需要提交的材料的复印件。</w:t>
      </w:r>
    </w:p>
    <w:p>
      <w:pPr>
        <w:pStyle w:val="5"/>
        <w:spacing w:before="0" w:after="0"/>
        <w:jc w:val="center"/>
        <w:rPr>
          <w:rFonts w:ascii="宋体" w:hAnsi="宋体" w:eastAsia="宋体" w:cs="宋体"/>
          <w:color w:val="auto"/>
          <w:highlight w:val="none"/>
        </w:rPr>
      </w:pPr>
    </w:p>
    <w:p>
      <w:pPr>
        <w:rPr>
          <w:rFonts w:ascii="宋体" w:hAnsi="宋体" w:eastAsia="宋体" w:cs="宋体"/>
          <w:color w:val="auto"/>
          <w:highlight w:val="none"/>
        </w:rPr>
      </w:pPr>
    </w:p>
    <w:p>
      <w:pPr>
        <w:pStyle w:val="25"/>
        <w:rPr>
          <w:rFonts w:eastAsia="宋体"/>
          <w:color w:val="auto"/>
          <w:highlight w:val="none"/>
        </w:rPr>
      </w:pPr>
    </w:p>
    <w:p>
      <w:pPr>
        <w:rPr>
          <w:rFonts w:ascii="宋体" w:hAnsi="宋体" w:eastAsia="宋体" w:cs="宋体"/>
          <w:color w:val="auto"/>
          <w:highlight w:val="none"/>
        </w:rPr>
      </w:pPr>
    </w:p>
    <w:p>
      <w:pPr>
        <w:pStyle w:val="5"/>
        <w:spacing w:before="0" w:after="0"/>
        <w:jc w:val="center"/>
        <w:rPr>
          <w:rFonts w:ascii="宋体" w:hAnsi="宋体" w:eastAsia="宋体" w:cs="宋体"/>
          <w:color w:val="auto"/>
          <w:highlight w:val="none"/>
        </w:rPr>
      </w:pPr>
      <w:r>
        <w:rPr>
          <w:rFonts w:hint="eastAsia" w:ascii="宋体" w:hAnsi="宋体" w:eastAsia="宋体" w:cs="宋体"/>
          <w:color w:val="auto"/>
          <w:highlight w:val="none"/>
        </w:rPr>
        <w:t>（二）近年财务状况</w:t>
      </w:r>
      <w:bookmarkEnd w:id="146"/>
      <w:bookmarkEnd w:id="147"/>
      <w:bookmarkEnd w:id="148"/>
      <w:bookmarkEnd w:id="149"/>
      <w:bookmarkEnd w:id="150"/>
      <w:bookmarkEnd w:id="151"/>
      <w:bookmarkEnd w:id="152"/>
    </w:p>
    <w:p>
      <w:pPr>
        <w:topLinePunct/>
        <w:spacing w:line="440" w:lineRule="exact"/>
        <w:ind w:firstLine="480" w:firstLineChars="200"/>
        <w:jc w:val="left"/>
        <w:rPr>
          <w:rFonts w:ascii="宋体" w:hAnsi="宋体" w:eastAsia="宋体" w:cs="宋体"/>
          <w:color w:val="auto"/>
          <w:highlight w:val="none"/>
        </w:rPr>
      </w:pPr>
      <w:r>
        <w:rPr>
          <w:rFonts w:hint="eastAsia" w:ascii="宋体" w:hAnsi="宋体" w:eastAsia="宋体" w:cs="宋体"/>
          <w:color w:val="auto"/>
          <w:sz w:val="24"/>
          <w:highlight w:val="none"/>
        </w:rPr>
        <w:t>近三年财务状况良好的证明材料（资产负债表、现金流量表、利润表、财务情况说明书、银行资信证明等均可）</w:t>
      </w:r>
    </w:p>
    <w:p>
      <w:pPr>
        <w:pStyle w:val="5"/>
        <w:spacing w:before="0" w:after="0"/>
        <w:jc w:val="center"/>
        <w:rPr>
          <w:rFonts w:ascii="宋体" w:hAnsi="宋体" w:eastAsia="宋体" w:cs="宋体"/>
          <w:color w:val="auto"/>
          <w:highlight w:val="none"/>
        </w:rPr>
      </w:pPr>
      <w:bookmarkStart w:id="157" w:name="_Toc152045810"/>
      <w:bookmarkStart w:id="158" w:name="_Toc247514302"/>
      <w:bookmarkStart w:id="159" w:name="_Toc247527850"/>
      <w:bookmarkStart w:id="160" w:name="_Toc296602620"/>
      <w:bookmarkStart w:id="161" w:name="_Toc144974878"/>
      <w:bookmarkStart w:id="162" w:name="_Toc152042599"/>
      <w:bookmarkStart w:id="163" w:name="_Toc265953296"/>
    </w:p>
    <w:p>
      <w:pPr>
        <w:pStyle w:val="9"/>
        <w:spacing w:afterLines="50" w:line="400" w:lineRule="exact"/>
        <w:jc w:val="center"/>
        <w:rPr>
          <w:rFonts w:eastAsia="宋体" w:cs="宋体"/>
          <w:b/>
          <w:bCs/>
          <w:color w:val="auto"/>
          <w:sz w:val="32"/>
          <w:szCs w:val="32"/>
          <w:highlight w:val="none"/>
        </w:rPr>
      </w:pPr>
      <w:r>
        <w:rPr>
          <w:rFonts w:hint="eastAsia" w:eastAsia="宋体" w:cs="宋体"/>
          <w:b/>
          <w:bCs/>
          <w:color w:val="auto"/>
          <w:sz w:val="32"/>
          <w:szCs w:val="32"/>
          <w:highlight w:val="none"/>
        </w:rPr>
        <w:t>（三）</w:t>
      </w:r>
      <w:bookmarkEnd w:id="157"/>
      <w:bookmarkEnd w:id="158"/>
      <w:bookmarkEnd w:id="159"/>
      <w:bookmarkEnd w:id="160"/>
      <w:bookmarkEnd w:id="161"/>
      <w:bookmarkEnd w:id="162"/>
      <w:bookmarkEnd w:id="163"/>
      <w:bookmarkStart w:id="164" w:name="_Toc247514303"/>
      <w:bookmarkStart w:id="165" w:name="_Toc265953297"/>
      <w:bookmarkStart w:id="166" w:name="_Toc247527851"/>
      <w:bookmarkStart w:id="167" w:name="_Toc144974879"/>
      <w:bookmarkStart w:id="168" w:name="_Toc296602621"/>
      <w:bookmarkStart w:id="169" w:name="_Toc152042600"/>
      <w:bookmarkStart w:id="170" w:name="_Toc152045811"/>
      <w:r>
        <w:rPr>
          <w:rFonts w:hint="eastAsia" w:eastAsia="宋体" w:cs="宋体"/>
          <w:b/>
          <w:bCs/>
          <w:color w:val="auto"/>
          <w:sz w:val="32"/>
          <w:szCs w:val="32"/>
          <w:highlight w:val="none"/>
        </w:rPr>
        <w:t>同类项目业绩一览表</w:t>
      </w:r>
    </w:p>
    <w:p>
      <w:pPr>
        <w:pStyle w:val="9"/>
        <w:spacing w:afterLines="50" w:line="400" w:lineRule="exact"/>
        <w:jc w:val="center"/>
        <w:rPr>
          <w:rFonts w:eastAsia="宋体" w:cs="宋体"/>
          <w:b/>
          <w:bCs/>
          <w:color w:val="auto"/>
          <w:sz w:val="32"/>
          <w:szCs w:val="32"/>
          <w:highlight w:val="none"/>
        </w:rPr>
      </w:pPr>
      <w:r>
        <w:rPr>
          <w:rFonts w:hint="eastAsia" w:eastAsia="宋体" w:cs="宋体"/>
          <w:b/>
          <w:bCs/>
          <w:color w:val="auto"/>
          <w:sz w:val="32"/>
          <w:szCs w:val="32"/>
          <w:highlight w:val="none"/>
        </w:rPr>
        <w:t>（2016年—至今）</w:t>
      </w:r>
    </w:p>
    <w:p>
      <w:pPr>
        <w:jc w:val="center"/>
        <w:outlineLvl w:val="0"/>
        <w:rPr>
          <w:rFonts w:ascii="宋体" w:hAnsi="宋体" w:eastAsia="宋体" w:cs="宋体"/>
          <w:color w:val="auto"/>
          <w:sz w:val="28"/>
          <w:szCs w:val="28"/>
          <w:highlight w:val="none"/>
        </w:rPr>
      </w:pPr>
    </w:p>
    <w:p>
      <w:pPr>
        <w:tabs>
          <w:tab w:val="left" w:pos="0"/>
          <w:tab w:val="left" w:pos="720"/>
          <w:tab w:val="left" w:pos="1440"/>
          <w:tab w:val="left" w:pos="2160"/>
          <w:tab w:val="left" w:pos="2880"/>
          <w:tab w:val="left" w:pos="3390"/>
          <w:tab w:val="left" w:pos="4320"/>
        </w:tabs>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供应商名称（盖章）：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tabs>
          <w:tab w:val="left" w:pos="0"/>
          <w:tab w:val="left" w:pos="720"/>
          <w:tab w:val="left" w:pos="1440"/>
          <w:tab w:val="left" w:pos="2160"/>
          <w:tab w:val="left" w:pos="2880"/>
          <w:tab w:val="left" w:pos="3390"/>
          <w:tab w:val="left" w:pos="4320"/>
        </w:tabs>
        <w:spacing w:line="400" w:lineRule="exact"/>
        <w:ind w:firstLine="480" w:firstLineChars="200"/>
        <w:rPr>
          <w:rFonts w:ascii="宋体" w:hAnsi="宋体" w:eastAsia="宋体" w:cs="宋体"/>
          <w:color w:val="auto"/>
          <w:sz w:val="24"/>
          <w:highlight w:val="none"/>
        </w:rPr>
      </w:pPr>
    </w:p>
    <w:p>
      <w:pPr>
        <w:tabs>
          <w:tab w:val="left" w:pos="0"/>
          <w:tab w:val="left" w:pos="720"/>
          <w:tab w:val="left" w:pos="1440"/>
          <w:tab w:val="left" w:pos="2160"/>
          <w:tab w:val="left" w:pos="2880"/>
          <w:tab w:val="left" w:pos="3390"/>
          <w:tab w:val="left" w:pos="4320"/>
        </w:tabs>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法定代表人或授权代理人签字：</w:t>
      </w:r>
      <w:r>
        <w:rPr>
          <w:rFonts w:hint="eastAsia" w:ascii="宋体" w:hAnsi="宋体" w:eastAsia="宋体" w:cs="宋体"/>
          <w:color w:val="auto"/>
          <w:sz w:val="24"/>
          <w:highlight w:val="none"/>
          <w:u w:val="single"/>
        </w:rPr>
        <w:t xml:space="preserve">                              </w:t>
      </w:r>
    </w:p>
    <w:p>
      <w:pPr>
        <w:jc w:val="center"/>
        <w:outlineLvl w:val="0"/>
        <w:rPr>
          <w:rFonts w:ascii="宋体" w:hAnsi="宋体" w:eastAsia="宋体" w:cs="宋体"/>
          <w:color w:val="auto"/>
          <w:sz w:val="32"/>
          <w:szCs w:val="32"/>
          <w:highlight w:val="none"/>
        </w:rPr>
      </w:pPr>
    </w:p>
    <w:tbl>
      <w:tblPr>
        <w:tblStyle w:val="20"/>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1138"/>
        <w:gridCol w:w="1657"/>
        <w:gridCol w:w="995"/>
        <w:gridCol w:w="1159"/>
        <w:gridCol w:w="995"/>
        <w:gridCol w:w="1159"/>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16" w:type="dxa"/>
            <w:vAlign w:val="center"/>
          </w:tcPr>
          <w:p>
            <w:pPr>
              <w:jc w:val="center"/>
              <w:outlineLvl w:val="0"/>
              <w:rPr>
                <w:rFonts w:ascii="宋体" w:hAnsi="宋体" w:eastAsia="宋体" w:cs="宋体"/>
                <w:b/>
                <w:color w:val="auto"/>
                <w:sz w:val="24"/>
                <w:highlight w:val="none"/>
              </w:rPr>
            </w:pPr>
            <w:bookmarkStart w:id="171" w:name="_Toc8752"/>
            <w:bookmarkStart w:id="172" w:name="_Toc23110"/>
            <w:r>
              <w:rPr>
                <w:rFonts w:hint="eastAsia" w:ascii="宋体" w:hAnsi="宋体" w:eastAsia="宋体" w:cs="宋体"/>
                <w:b/>
                <w:color w:val="auto"/>
                <w:sz w:val="24"/>
                <w:highlight w:val="none"/>
              </w:rPr>
              <w:t>序号</w:t>
            </w:r>
            <w:bookmarkEnd w:id="171"/>
            <w:bookmarkEnd w:id="172"/>
          </w:p>
        </w:tc>
        <w:tc>
          <w:tcPr>
            <w:tcW w:w="1138" w:type="dxa"/>
            <w:vAlign w:val="center"/>
          </w:tcPr>
          <w:p>
            <w:pPr>
              <w:jc w:val="center"/>
              <w:outlineLvl w:val="0"/>
              <w:rPr>
                <w:rFonts w:ascii="宋体" w:hAnsi="宋体" w:eastAsia="宋体" w:cs="宋体"/>
                <w:b/>
                <w:color w:val="auto"/>
                <w:sz w:val="24"/>
                <w:highlight w:val="none"/>
              </w:rPr>
            </w:pPr>
            <w:bookmarkStart w:id="173" w:name="_Toc22455"/>
            <w:bookmarkStart w:id="174" w:name="_Toc8552"/>
            <w:r>
              <w:rPr>
                <w:rFonts w:hint="eastAsia" w:ascii="宋体" w:hAnsi="宋体" w:eastAsia="宋体" w:cs="宋体"/>
                <w:b/>
                <w:color w:val="auto"/>
                <w:sz w:val="24"/>
                <w:highlight w:val="none"/>
              </w:rPr>
              <w:t>项目</w:t>
            </w:r>
          </w:p>
          <w:p>
            <w:pPr>
              <w:jc w:val="center"/>
              <w:outlineLvl w:val="0"/>
              <w:rPr>
                <w:rFonts w:ascii="宋体" w:hAnsi="宋体" w:eastAsia="宋体" w:cs="宋体"/>
                <w:b/>
                <w:color w:val="auto"/>
                <w:sz w:val="24"/>
                <w:highlight w:val="none"/>
              </w:rPr>
            </w:pPr>
            <w:r>
              <w:rPr>
                <w:rFonts w:hint="eastAsia" w:ascii="宋体" w:hAnsi="宋体" w:eastAsia="宋体" w:cs="宋体"/>
                <w:b/>
                <w:color w:val="auto"/>
                <w:sz w:val="24"/>
                <w:highlight w:val="none"/>
              </w:rPr>
              <w:t>名称</w:t>
            </w:r>
            <w:bookmarkEnd w:id="173"/>
            <w:bookmarkEnd w:id="174"/>
          </w:p>
        </w:tc>
        <w:tc>
          <w:tcPr>
            <w:tcW w:w="1657" w:type="dxa"/>
            <w:vAlign w:val="center"/>
          </w:tcPr>
          <w:p>
            <w:pPr>
              <w:jc w:val="center"/>
              <w:outlineLvl w:val="0"/>
              <w:rPr>
                <w:rFonts w:ascii="宋体" w:hAnsi="宋体" w:eastAsia="宋体" w:cs="宋体"/>
                <w:b/>
                <w:color w:val="auto"/>
                <w:sz w:val="24"/>
                <w:highlight w:val="none"/>
              </w:rPr>
            </w:pPr>
            <w:bookmarkStart w:id="175" w:name="_Toc1560"/>
            <w:bookmarkStart w:id="176" w:name="_Toc4331"/>
            <w:r>
              <w:rPr>
                <w:rFonts w:hint="eastAsia" w:ascii="宋体" w:hAnsi="宋体" w:eastAsia="宋体" w:cs="宋体"/>
                <w:b/>
                <w:color w:val="auto"/>
                <w:sz w:val="24"/>
                <w:highlight w:val="none"/>
              </w:rPr>
              <w:t>合同签订</w:t>
            </w:r>
            <w:bookmarkEnd w:id="175"/>
            <w:bookmarkEnd w:id="176"/>
          </w:p>
          <w:p>
            <w:pPr>
              <w:jc w:val="center"/>
              <w:outlineLvl w:val="0"/>
              <w:rPr>
                <w:rFonts w:ascii="宋体" w:hAnsi="宋体" w:eastAsia="宋体" w:cs="宋体"/>
                <w:b/>
                <w:color w:val="auto"/>
                <w:sz w:val="24"/>
                <w:highlight w:val="none"/>
              </w:rPr>
            </w:pPr>
            <w:bookmarkStart w:id="177" w:name="_Toc31341"/>
            <w:bookmarkStart w:id="178" w:name="_Toc27060"/>
            <w:r>
              <w:rPr>
                <w:rFonts w:hint="eastAsia" w:ascii="宋体" w:hAnsi="宋体" w:eastAsia="宋体" w:cs="宋体"/>
                <w:b/>
                <w:color w:val="auto"/>
                <w:sz w:val="24"/>
                <w:highlight w:val="none"/>
              </w:rPr>
              <w:t>时间</w:t>
            </w:r>
            <w:bookmarkEnd w:id="177"/>
            <w:bookmarkEnd w:id="178"/>
          </w:p>
        </w:tc>
        <w:tc>
          <w:tcPr>
            <w:tcW w:w="995" w:type="dxa"/>
            <w:vAlign w:val="center"/>
          </w:tcPr>
          <w:p>
            <w:pPr>
              <w:jc w:val="center"/>
              <w:outlineLvl w:val="0"/>
              <w:rPr>
                <w:rFonts w:ascii="宋体" w:hAnsi="宋体" w:eastAsia="宋体" w:cs="宋体"/>
                <w:b/>
                <w:color w:val="auto"/>
                <w:sz w:val="24"/>
                <w:highlight w:val="none"/>
              </w:rPr>
            </w:pPr>
            <w:bookmarkStart w:id="179" w:name="_Toc2579"/>
            <w:bookmarkStart w:id="180" w:name="_Toc2485"/>
            <w:r>
              <w:rPr>
                <w:rFonts w:hint="eastAsia" w:ascii="宋体" w:hAnsi="宋体" w:eastAsia="宋体" w:cs="宋体"/>
                <w:b/>
                <w:color w:val="auto"/>
                <w:sz w:val="24"/>
                <w:highlight w:val="none"/>
              </w:rPr>
              <w:t>地点</w:t>
            </w:r>
            <w:bookmarkEnd w:id="179"/>
            <w:bookmarkEnd w:id="180"/>
          </w:p>
        </w:tc>
        <w:tc>
          <w:tcPr>
            <w:tcW w:w="1159" w:type="dxa"/>
            <w:vAlign w:val="center"/>
          </w:tcPr>
          <w:p>
            <w:pPr>
              <w:jc w:val="center"/>
              <w:outlineLvl w:val="0"/>
              <w:rPr>
                <w:rFonts w:ascii="宋体" w:hAnsi="宋体" w:eastAsia="宋体" w:cs="宋体"/>
                <w:b/>
                <w:color w:val="auto"/>
                <w:sz w:val="24"/>
                <w:highlight w:val="none"/>
              </w:rPr>
            </w:pPr>
            <w:bookmarkStart w:id="181" w:name="_Toc23722"/>
            <w:bookmarkStart w:id="182" w:name="_Toc16655"/>
            <w:r>
              <w:rPr>
                <w:rFonts w:hint="eastAsia" w:ascii="宋体" w:hAnsi="宋体" w:eastAsia="宋体" w:cs="宋体"/>
                <w:b/>
                <w:color w:val="auto"/>
                <w:sz w:val="24"/>
                <w:highlight w:val="none"/>
              </w:rPr>
              <w:t>采购人</w:t>
            </w:r>
            <w:bookmarkEnd w:id="181"/>
            <w:bookmarkEnd w:id="182"/>
          </w:p>
        </w:tc>
        <w:tc>
          <w:tcPr>
            <w:tcW w:w="995" w:type="dxa"/>
            <w:vAlign w:val="center"/>
          </w:tcPr>
          <w:p>
            <w:pPr>
              <w:jc w:val="center"/>
              <w:outlineLvl w:val="0"/>
              <w:rPr>
                <w:rFonts w:ascii="宋体" w:hAnsi="宋体" w:eastAsia="宋体" w:cs="宋体"/>
                <w:b/>
                <w:color w:val="auto"/>
                <w:sz w:val="24"/>
                <w:highlight w:val="none"/>
              </w:rPr>
            </w:pPr>
            <w:bookmarkStart w:id="183" w:name="_Toc29904"/>
            <w:bookmarkStart w:id="184" w:name="_Toc9924"/>
            <w:r>
              <w:rPr>
                <w:rFonts w:hint="eastAsia" w:ascii="宋体" w:hAnsi="宋体" w:eastAsia="宋体" w:cs="宋体"/>
                <w:b/>
                <w:color w:val="auto"/>
                <w:sz w:val="24"/>
                <w:highlight w:val="none"/>
              </w:rPr>
              <w:t>联系人</w:t>
            </w:r>
            <w:bookmarkEnd w:id="183"/>
            <w:bookmarkEnd w:id="184"/>
          </w:p>
        </w:tc>
        <w:tc>
          <w:tcPr>
            <w:tcW w:w="1159" w:type="dxa"/>
            <w:vAlign w:val="center"/>
          </w:tcPr>
          <w:p>
            <w:pPr>
              <w:jc w:val="center"/>
              <w:outlineLvl w:val="0"/>
              <w:rPr>
                <w:rFonts w:ascii="宋体" w:hAnsi="宋体" w:eastAsia="宋体" w:cs="宋体"/>
                <w:b/>
                <w:color w:val="auto"/>
                <w:sz w:val="24"/>
                <w:highlight w:val="none"/>
              </w:rPr>
            </w:pPr>
            <w:bookmarkStart w:id="185" w:name="_Toc32510"/>
            <w:bookmarkStart w:id="186" w:name="_Toc7388"/>
            <w:r>
              <w:rPr>
                <w:rFonts w:hint="eastAsia" w:ascii="宋体" w:hAnsi="宋体" w:eastAsia="宋体" w:cs="宋体"/>
                <w:b/>
                <w:color w:val="auto"/>
                <w:sz w:val="24"/>
                <w:highlight w:val="none"/>
              </w:rPr>
              <w:t>联系</w:t>
            </w:r>
            <w:bookmarkEnd w:id="185"/>
            <w:bookmarkEnd w:id="186"/>
          </w:p>
          <w:p>
            <w:pPr>
              <w:jc w:val="center"/>
              <w:outlineLvl w:val="0"/>
              <w:rPr>
                <w:rFonts w:ascii="宋体" w:hAnsi="宋体" w:eastAsia="宋体" w:cs="宋体"/>
                <w:b/>
                <w:color w:val="auto"/>
                <w:sz w:val="24"/>
                <w:highlight w:val="none"/>
              </w:rPr>
            </w:pPr>
            <w:bookmarkStart w:id="187" w:name="_Toc12125"/>
            <w:bookmarkStart w:id="188" w:name="_Toc6024"/>
            <w:r>
              <w:rPr>
                <w:rFonts w:hint="eastAsia" w:ascii="宋体" w:hAnsi="宋体" w:eastAsia="宋体" w:cs="宋体"/>
                <w:b/>
                <w:color w:val="auto"/>
                <w:sz w:val="24"/>
                <w:highlight w:val="none"/>
              </w:rPr>
              <w:t>电话</w:t>
            </w:r>
            <w:bookmarkEnd w:id="187"/>
            <w:bookmarkEnd w:id="188"/>
          </w:p>
        </w:tc>
        <w:tc>
          <w:tcPr>
            <w:tcW w:w="827" w:type="dxa"/>
            <w:vAlign w:val="center"/>
          </w:tcPr>
          <w:p>
            <w:pPr>
              <w:jc w:val="center"/>
              <w:outlineLvl w:val="0"/>
              <w:rPr>
                <w:rFonts w:ascii="宋体" w:hAnsi="宋体" w:eastAsia="宋体" w:cs="宋体"/>
                <w:b/>
                <w:color w:val="auto"/>
                <w:sz w:val="24"/>
                <w:highlight w:val="none"/>
              </w:rPr>
            </w:pPr>
            <w:bookmarkStart w:id="189" w:name="_Toc23520"/>
            <w:bookmarkStart w:id="190" w:name="_Toc6705"/>
            <w:r>
              <w:rPr>
                <w:rFonts w:hint="eastAsia" w:ascii="宋体" w:hAnsi="宋体" w:eastAsia="宋体" w:cs="宋体"/>
                <w:b/>
                <w:color w:val="auto"/>
                <w:sz w:val="24"/>
                <w:highlight w:val="none"/>
              </w:rPr>
              <w:t>备注</w:t>
            </w:r>
            <w:bookmarkEnd w:id="189"/>
            <w:bookmarkEnd w:id="19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016" w:type="dxa"/>
            <w:vAlign w:val="center"/>
          </w:tcPr>
          <w:p>
            <w:pPr>
              <w:jc w:val="center"/>
              <w:outlineLvl w:val="0"/>
              <w:rPr>
                <w:rFonts w:ascii="宋体" w:hAnsi="宋体" w:eastAsia="宋体" w:cs="宋体"/>
                <w:color w:val="auto"/>
                <w:sz w:val="24"/>
                <w:highlight w:val="none"/>
              </w:rPr>
            </w:pPr>
          </w:p>
        </w:tc>
        <w:tc>
          <w:tcPr>
            <w:tcW w:w="1138" w:type="dxa"/>
            <w:vAlign w:val="center"/>
          </w:tcPr>
          <w:p>
            <w:pPr>
              <w:jc w:val="center"/>
              <w:outlineLvl w:val="0"/>
              <w:rPr>
                <w:rFonts w:ascii="宋体" w:hAnsi="宋体" w:eastAsia="宋体" w:cs="宋体"/>
                <w:color w:val="auto"/>
                <w:sz w:val="24"/>
                <w:highlight w:val="none"/>
              </w:rPr>
            </w:pPr>
          </w:p>
        </w:tc>
        <w:tc>
          <w:tcPr>
            <w:tcW w:w="1657" w:type="dxa"/>
            <w:vAlign w:val="center"/>
          </w:tcPr>
          <w:p>
            <w:pPr>
              <w:jc w:val="center"/>
              <w:outlineLvl w:val="0"/>
              <w:rPr>
                <w:rFonts w:ascii="宋体" w:hAnsi="宋体" w:eastAsia="宋体" w:cs="宋体"/>
                <w:color w:val="auto"/>
                <w:sz w:val="24"/>
                <w:highlight w:val="none"/>
              </w:rPr>
            </w:pPr>
          </w:p>
        </w:tc>
        <w:tc>
          <w:tcPr>
            <w:tcW w:w="995" w:type="dxa"/>
            <w:vAlign w:val="center"/>
          </w:tcPr>
          <w:p>
            <w:pPr>
              <w:jc w:val="center"/>
              <w:outlineLvl w:val="0"/>
              <w:rPr>
                <w:rFonts w:ascii="宋体" w:hAnsi="宋体" w:eastAsia="宋体" w:cs="宋体"/>
                <w:color w:val="auto"/>
                <w:sz w:val="24"/>
                <w:highlight w:val="none"/>
              </w:rPr>
            </w:pPr>
          </w:p>
        </w:tc>
        <w:tc>
          <w:tcPr>
            <w:tcW w:w="1159" w:type="dxa"/>
            <w:vAlign w:val="center"/>
          </w:tcPr>
          <w:p>
            <w:pPr>
              <w:jc w:val="center"/>
              <w:outlineLvl w:val="0"/>
              <w:rPr>
                <w:rFonts w:ascii="宋体" w:hAnsi="宋体" w:eastAsia="宋体" w:cs="宋体"/>
                <w:color w:val="auto"/>
                <w:sz w:val="24"/>
                <w:highlight w:val="none"/>
              </w:rPr>
            </w:pPr>
          </w:p>
        </w:tc>
        <w:tc>
          <w:tcPr>
            <w:tcW w:w="995" w:type="dxa"/>
            <w:vAlign w:val="center"/>
          </w:tcPr>
          <w:p>
            <w:pPr>
              <w:jc w:val="center"/>
              <w:outlineLvl w:val="0"/>
              <w:rPr>
                <w:rFonts w:ascii="宋体" w:hAnsi="宋体" w:eastAsia="宋体" w:cs="宋体"/>
                <w:color w:val="auto"/>
                <w:sz w:val="24"/>
                <w:highlight w:val="none"/>
              </w:rPr>
            </w:pPr>
          </w:p>
        </w:tc>
        <w:tc>
          <w:tcPr>
            <w:tcW w:w="1159" w:type="dxa"/>
            <w:vAlign w:val="center"/>
          </w:tcPr>
          <w:p>
            <w:pPr>
              <w:jc w:val="center"/>
              <w:outlineLvl w:val="0"/>
              <w:rPr>
                <w:rFonts w:ascii="宋体" w:hAnsi="宋体" w:eastAsia="宋体" w:cs="宋体"/>
                <w:color w:val="auto"/>
                <w:sz w:val="24"/>
                <w:highlight w:val="none"/>
              </w:rPr>
            </w:pPr>
          </w:p>
        </w:tc>
        <w:tc>
          <w:tcPr>
            <w:tcW w:w="827" w:type="dxa"/>
            <w:vAlign w:val="center"/>
          </w:tcPr>
          <w:p>
            <w:pPr>
              <w:jc w:val="center"/>
              <w:outlineLvl w:val="0"/>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16" w:type="dxa"/>
            <w:vAlign w:val="center"/>
          </w:tcPr>
          <w:p>
            <w:pPr>
              <w:jc w:val="center"/>
              <w:outlineLvl w:val="0"/>
              <w:rPr>
                <w:rFonts w:ascii="宋体" w:hAnsi="宋体" w:eastAsia="宋体" w:cs="宋体"/>
                <w:color w:val="auto"/>
                <w:sz w:val="24"/>
                <w:highlight w:val="none"/>
              </w:rPr>
            </w:pPr>
          </w:p>
        </w:tc>
        <w:tc>
          <w:tcPr>
            <w:tcW w:w="1138" w:type="dxa"/>
            <w:vAlign w:val="center"/>
          </w:tcPr>
          <w:p>
            <w:pPr>
              <w:jc w:val="center"/>
              <w:outlineLvl w:val="0"/>
              <w:rPr>
                <w:rFonts w:ascii="宋体" w:hAnsi="宋体" w:eastAsia="宋体" w:cs="宋体"/>
                <w:color w:val="auto"/>
                <w:sz w:val="24"/>
                <w:highlight w:val="none"/>
              </w:rPr>
            </w:pPr>
          </w:p>
        </w:tc>
        <w:tc>
          <w:tcPr>
            <w:tcW w:w="1657" w:type="dxa"/>
            <w:vAlign w:val="center"/>
          </w:tcPr>
          <w:p>
            <w:pPr>
              <w:jc w:val="center"/>
              <w:outlineLvl w:val="0"/>
              <w:rPr>
                <w:rFonts w:ascii="宋体" w:hAnsi="宋体" w:eastAsia="宋体" w:cs="宋体"/>
                <w:color w:val="auto"/>
                <w:sz w:val="24"/>
                <w:highlight w:val="none"/>
              </w:rPr>
            </w:pPr>
          </w:p>
        </w:tc>
        <w:tc>
          <w:tcPr>
            <w:tcW w:w="995" w:type="dxa"/>
            <w:vAlign w:val="center"/>
          </w:tcPr>
          <w:p>
            <w:pPr>
              <w:jc w:val="center"/>
              <w:outlineLvl w:val="0"/>
              <w:rPr>
                <w:rFonts w:ascii="宋体" w:hAnsi="宋体" w:eastAsia="宋体" w:cs="宋体"/>
                <w:color w:val="auto"/>
                <w:sz w:val="24"/>
                <w:highlight w:val="none"/>
              </w:rPr>
            </w:pPr>
          </w:p>
        </w:tc>
        <w:tc>
          <w:tcPr>
            <w:tcW w:w="1159" w:type="dxa"/>
            <w:vAlign w:val="center"/>
          </w:tcPr>
          <w:p>
            <w:pPr>
              <w:jc w:val="center"/>
              <w:outlineLvl w:val="0"/>
              <w:rPr>
                <w:rFonts w:ascii="宋体" w:hAnsi="宋体" w:eastAsia="宋体" w:cs="宋体"/>
                <w:color w:val="auto"/>
                <w:sz w:val="24"/>
                <w:highlight w:val="none"/>
              </w:rPr>
            </w:pPr>
          </w:p>
        </w:tc>
        <w:tc>
          <w:tcPr>
            <w:tcW w:w="995" w:type="dxa"/>
            <w:vAlign w:val="center"/>
          </w:tcPr>
          <w:p>
            <w:pPr>
              <w:jc w:val="center"/>
              <w:outlineLvl w:val="0"/>
              <w:rPr>
                <w:rFonts w:ascii="宋体" w:hAnsi="宋体" w:eastAsia="宋体" w:cs="宋体"/>
                <w:color w:val="auto"/>
                <w:sz w:val="24"/>
                <w:highlight w:val="none"/>
              </w:rPr>
            </w:pPr>
          </w:p>
        </w:tc>
        <w:tc>
          <w:tcPr>
            <w:tcW w:w="1159" w:type="dxa"/>
            <w:vAlign w:val="center"/>
          </w:tcPr>
          <w:p>
            <w:pPr>
              <w:jc w:val="center"/>
              <w:outlineLvl w:val="0"/>
              <w:rPr>
                <w:rFonts w:ascii="宋体" w:hAnsi="宋体" w:eastAsia="宋体" w:cs="宋体"/>
                <w:color w:val="auto"/>
                <w:sz w:val="24"/>
                <w:highlight w:val="none"/>
              </w:rPr>
            </w:pPr>
          </w:p>
        </w:tc>
        <w:tc>
          <w:tcPr>
            <w:tcW w:w="827" w:type="dxa"/>
            <w:vAlign w:val="center"/>
          </w:tcPr>
          <w:p>
            <w:pPr>
              <w:jc w:val="center"/>
              <w:outlineLvl w:val="0"/>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016" w:type="dxa"/>
            <w:vAlign w:val="center"/>
          </w:tcPr>
          <w:p>
            <w:pPr>
              <w:jc w:val="center"/>
              <w:outlineLvl w:val="0"/>
              <w:rPr>
                <w:rFonts w:ascii="宋体" w:hAnsi="宋体" w:eastAsia="宋体" w:cs="宋体"/>
                <w:color w:val="auto"/>
                <w:sz w:val="24"/>
                <w:highlight w:val="none"/>
              </w:rPr>
            </w:pPr>
          </w:p>
        </w:tc>
        <w:tc>
          <w:tcPr>
            <w:tcW w:w="1138" w:type="dxa"/>
            <w:vAlign w:val="center"/>
          </w:tcPr>
          <w:p>
            <w:pPr>
              <w:jc w:val="center"/>
              <w:outlineLvl w:val="0"/>
              <w:rPr>
                <w:rFonts w:ascii="宋体" w:hAnsi="宋体" w:eastAsia="宋体" w:cs="宋体"/>
                <w:color w:val="auto"/>
                <w:sz w:val="24"/>
                <w:highlight w:val="none"/>
              </w:rPr>
            </w:pPr>
          </w:p>
        </w:tc>
        <w:tc>
          <w:tcPr>
            <w:tcW w:w="1657" w:type="dxa"/>
            <w:vAlign w:val="center"/>
          </w:tcPr>
          <w:p>
            <w:pPr>
              <w:jc w:val="center"/>
              <w:outlineLvl w:val="0"/>
              <w:rPr>
                <w:rFonts w:ascii="宋体" w:hAnsi="宋体" w:eastAsia="宋体" w:cs="宋体"/>
                <w:color w:val="auto"/>
                <w:sz w:val="24"/>
                <w:highlight w:val="none"/>
              </w:rPr>
            </w:pPr>
          </w:p>
        </w:tc>
        <w:tc>
          <w:tcPr>
            <w:tcW w:w="995" w:type="dxa"/>
            <w:vAlign w:val="center"/>
          </w:tcPr>
          <w:p>
            <w:pPr>
              <w:jc w:val="center"/>
              <w:outlineLvl w:val="0"/>
              <w:rPr>
                <w:rFonts w:ascii="宋体" w:hAnsi="宋体" w:eastAsia="宋体" w:cs="宋体"/>
                <w:color w:val="auto"/>
                <w:sz w:val="24"/>
                <w:highlight w:val="none"/>
              </w:rPr>
            </w:pPr>
          </w:p>
        </w:tc>
        <w:tc>
          <w:tcPr>
            <w:tcW w:w="1159" w:type="dxa"/>
            <w:vAlign w:val="center"/>
          </w:tcPr>
          <w:p>
            <w:pPr>
              <w:jc w:val="center"/>
              <w:outlineLvl w:val="0"/>
              <w:rPr>
                <w:rFonts w:ascii="宋体" w:hAnsi="宋体" w:eastAsia="宋体" w:cs="宋体"/>
                <w:color w:val="auto"/>
                <w:sz w:val="24"/>
                <w:highlight w:val="none"/>
              </w:rPr>
            </w:pPr>
          </w:p>
        </w:tc>
        <w:tc>
          <w:tcPr>
            <w:tcW w:w="995" w:type="dxa"/>
            <w:vAlign w:val="center"/>
          </w:tcPr>
          <w:p>
            <w:pPr>
              <w:jc w:val="center"/>
              <w:outlineLvl w:val="0"/>
              <w:rPr>
                <w:rFonts w:ascii="宋体" w:hAnsi="宋体" w:eastAsia="宋体" w:cs="宋体"/>
                <w:color w:val="auto"/>
                <w:sz w:val="24"/>
                <w:highlight w:val="none"/>
              </w:rPr>
            </w:pPr>
          </w:p>
        </w:tc>
        <w:tc>
          <w:tcPr>
            <w:tcW w:w="1159" w:type="dxa"/>
            <w:vAlign w:val="center"/>
          </w:tcPr>
          <w:p>
            <w:pPr>
              <w:jc w:val="center"/>
              <w:outlineLvl w:val="0"/>
              <w:rPr>
                <w:rFonts w:ascii="宋体" w:hAnsi="宋体" w:eastAsia="宋体" w:cs="宋体"/>
                <w:color w:val="auto"/>
                <w:sz w:val="24"/>
                <w:highlight w:val="none"/>
              </w:rPr>
            </w:pPr>
          </w:p>
        </w:tc>
        <w:tc>
          <w:tcPr>
            <w:tcW w:w="827" w:type="dxa"/>
            <w:vAlign w:val="center"/>
          </w:tcPr>
          <w:p>
            <w:pPr>
              <w:jc w:val="center"/>
              <w:outlineLvl w:val="0"/>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16" w:type="dxa"/>
            <w:vAlign w:val="center"/>
          </w:tcPr>
          <w:p>
            <w:pPr>
              <w:jc w:val="center"/>
              <w:outlineLvl w:val="0"/>
              <w:rPr>
                <w:rFonts w:ascii="宋体" w:hAnsi="宋体" w:eastAsia="宋体" w:cs="宋体"/>
                <w:color w:val="auto"/>
                <w:sz w:val="24"/>
                <w:highlight w:val="none"/>
              </w:rPr>
            </w:pPr>
          </w:p>
        </w:tc>
        <w:tc>
          <w:tcPr>
            <w:tcW w:w="1138" w:type="dxa"/>
            <w:vAlign w:val="center"/>
          </w:tcPr>
          <w:p>
            <w:pPr>
              <w:jc w:val="center"/>
              <w:outlineLvl w:val="0"/>
              <w:rPr>
                <w:rFonts w:ascii="宋体" w:hAnsi="宋体" w:eastAsia="宋体" w:cs="宋体"/>
                <w:color w:val="auto"/>
                <w:sz w:val="24"/>
                <w:highlight w:val="none"/>
              </w:rPr>
            </w:pPr>
          </w:p>
        </w:tc>
        <w:tc>
          <w:tcPr>
            <w:tcW w:w="1657" w:type="dxa"/>
            <w:vAlign w:val="center"/>
          </w:tcPr>
          <w:p>
            <w:pPr>
              <w:jc w:val="center"/>
              <w:outlineLvl w:val="0"/>
              <w:rPr>
                <w:rFonts w:ascii="宋体" w:hAnsi="宋体" w:eastAsia="宋体" w:cs="宋体"/>
                <w:color w:val="auto"/>
                <w:sz w:val="24"/>
                <w:highlight w:val="none"/>
              </w:rPr>
            </w:pPr>
          </w:p>
        </w:tc>
        <w:tc>
          <w:tcPr>
            <w:tcW w:w="995" w:type="dxa"/>
            <w:vAlign w:val="center"/>
          </w:tcPr>
          <w:p>
            <w:pPr>
              <w:jc w:val="center"/>
              <w:outlineLvl w:val="0"/>
              <w:rPr>
                <w:rFonts w:ascii="宋体" w:hAnsi="宋体" w:eastAsia="宋体" w:cs="宋体"/>
                <w:color w:val="auto"/>
                <w:sz w:val="24"/>
                <w:highlight w:val="none"/>
              </w:rPr>
            </w:pPr>
          </w:p>
        </w:tc>
        <w:tc>
          <w:tcPr>
            <w:tcW w:w="1159" w:type="dxa"/>
            <w:vAlign w:val="center"/>
          </w:tcPr>
          <w:p>
            <w:pPr>
              <w:jc w:val="center"/>
              <w:outlineLvl w:val="0"/>
              <w:rPr>
                <w:rFonts w:ascii="宋体" w:hAnsi="宋体" w:eastAsia="宋体" w:cs="宋体"/>
                <w:color w:val="auto"/>
                <w:sz w:val="24"/>
                <w:highlight w:val="none"/>
              </w:rPr>
            </w:pPr>
          </w:p>
        </w:tc>
        <w:tc>
          <w:tcPr>
            <w:tcW w:w="995" w:type="dxa"/>
            <w:vAlign w:val="center"/>
          </w:tcPr>
          <w:p>
            <w:pPr>
              <w:jc w:val="center"/>
              <w:outlineLvl w:val="0"/>
              <w:rPr>
                <w:rFonts w:ascii="宋体" w:hAnsi="宋体" w:eastAsia="宋体" w:cs="宋体"/>
                <w:color w:val="auto"/>
                <w:sz w:val="24"/>
                <w:highlight w:val="none"/>
              </w:rPr>
            </w:pPr>
          </w:p>
        </w:tc>
        <w:tc>
          <w:tcPr>
            <w:tcW w:w="1159" w:type="dxa"/>
            <w:vAlign w:val="center"/>
          </w:tcPr>
          <w:p>
            <w:pPr>
              <w:jc w:val="center"/>
              <w:outlineLvl w:val="0"/>
              <w:rPr>
                <w:rFonts w:ascii="宋体" w:hAnsi="宋体" w:eastAsia="宋体" w:cs="宋体"/>
                <w:color w:val="auto"/>
                <w:sz w:val="24"/>
                <w:highlight w:val="none"/>
              </w:rPr>
            </w:pPr>
          </w:p>
        </w:tc>
        <w:tc>
          <w:tcPr>
            <w:tcW w:w="827" w:type="dxa"/>
            <w:vAlign w:val="center"/>
          </w:tcPr>
          <w:p>
            <w:pPr>
              <w:jc w:val="center"/>
              <w:outlineLvl w:val="0"/>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016" w:type="dxa"/>
            <w:vAlign w:val="center"/>
          </w:tcPr>
          <w:p>
            <w:pPr>
              <w:jc w:val="center"/>
              <w:outlineLvl w:val="0"/>
              <w:rPr>
                <w:rFonts w:ascii="宋体" w:hAnsi="宋体" w:eastAsia="宋体" w:cs="宋体"/>
                <w:color w:val="auto"/>
                <w:sz w:val="24"/>
                <w:highlight w:val="none"/>
              </w:rPr>
            </w:pPr>
          </w:p>
        </w:tc>
        <w:tc>
          <w:tcPr>
            <w:tcW w:w="1138" w:type="dxa"/>
            <w:vAlign w:val="center"/>
          </w:tcPr>
          <w:p>
            <w:pPr>
              <w:jc w:val="center"/>
              <w:outlineLvl w:val="0"/>
              <w:rPr>
                <w:rFonts w:ascii="宋体" w:hAnsi="宋体" w:eastAsia="宋体" w:cs="宋体"/>
                <w:color w:val="auto"/>
                <w:sz w:val="24"/>
                <w:highlight w:val="none"/>
              </w:rPr>
            </w:pPr>
          </w:p>
        </w:tc>
        <w:tc>
          <w:tcPr>
            <w:tcW w:w="1657" w:type="dxa"/>
            <w:vAlign w:val="center"/>
          </w:tcPr>
          <w:p>
            <w:pPr>
              <w:jc w:val="center"/>
              <w:outlineLvl w:val="0"/>
              <w:rPr>
                <w:rFonts w:ascii="宋体" w:hAnsi="宋体" w:eastAsia="宋体" w:cs="宋体"/>
                <w:color w:val="auto"/>
                <w:sz w:val="24"/>
                <w:highlight w:val="none"/>
              </w:rPr>
            </w:pPr>
          </w:p>
        </w:tc>
        <w:tc>
          <w:tcPr>
            <w:tcW w:w="995" w:type="dxa"/>
            <w:vAlign w:val="center"/>
          </w:tcPr>
          <w:p>
            <w:pPr>
              <w:jc w:val="center"/>
              <w:outlineLvl w:val="0"/>
              <w:rPr>
                <w:rFonts w:ascii="宋体" w:hAnsi="宋体" w:eastAsia="宋体" w:cs="宋体"/>
                <w:color w:val="auto"/>
                <w:sz w:val="24"/>
                <w:highlight w:val="none"/>
              </w:rPr>
            </w:pPr>
          </w:p>
        </w:tc>
        <w:tc>
          <w:tcPr>
            <w:tcW w:w="1159" w:type="dxa"/>
            <w:vAlign w:val="center"/>
          </w:tcPr>
          <w:p>
            <w:pPr>
              <w:jc w:val="center"/>
              <w:outlineLvl w:val="0"/>
              <w:rPr>
                <w:rFonts w:ascii="宋体" w:hAnsi="宋体" w:eastAsia="宋体" w:cs="宋体"/>
                <w:color w:val="auto"/>
                <w:sz w:val="24"/>
                <w:highlight w:val="none"/>
              </w:rPr>
            </w:pPr>
          </w:p>
        </w:tc>
        <w:tc>
          <w:tcPr>
            <w:tcW w:w="995" w:type="dxa"/>
            <w:vAlign w:val="center"/>
          </w:tcPr>
          <w:p>
            <w:pPr>
              <w:jc w:val="center"/>
              <w:outlineLvl w:val="0"/>
              <w:rPr>
                <w:rFonts w:ascii="宋体" w:hAnsi="宋体" w:eastAsia="宋体" w:cs="宋体"/>
                <w:color w:val="auto"/>
                <w:sz w:val="24"/>
                <w:highlight w:val="none"/>
              </w:rPr>
            </w:pPr>
          </w:p>
        </w:tc>
        <w:tc>
          <w:tcPr>
            <w:tcW w:w="1159" w:type="dxa"/>
            <w:vAlign w:val="center"/>
          </w:tcPr>
          <w:p>
            <w:pPr>
              <w:jc w:val="center"/>
              <w:outlineLvl w:val="0"/>
              <w:rPr>
                <w:rFonts w:ascii="宋体" w:hAnsi="宋体" w:eastAsia="宋体" w:cs="宋体"/>
                <w:color w:val="auto"/>
                <w:sz w:val="24"/>
                <w:highlight w:val="none"/>
              </w:rPr>
            </w:pPr>
          </w:p>
        </w:tc>
        <w:tc>
          <w:tcPr>
            <w:tcW w:w="827" w:type="dxa"/>
            <w:vAlign w:val="center"/>
          </w:tcPr>
          <w:p>
            <w:pPr>
              <w:jc w:val="center"/>
              <w:outlineLvl w:val="0"/>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016" w:type="dxa"/>
            <w:vAlign w:val="center"/>
          </w:tcPr>
          <w:p>
            <w:pPr>
              <w:jc w:val="center"/>
              <w:outlineLvl w:val="0"/>
              <w:rPr>
                <w:rFonts w:ascii="宋体" w:hAnsi="宋体" w:eastAsia="宋体" w:cs="宋体"/>
                <w:color w:val="auto"/>
                <w:sz w:val="24"/>
                <w:highlight w:val="none"/>
              </w:rPr>
            </w:pPr>
          </w:p>
        </w:tc>
        <w:tc>
          <w:tcPr>
            <w:tcW w:w="1138" w:type="dxa"/>
            <w:vAlign w:val="center"/>
          </w:tcPr>
          <w:p>
            <w:pPr>
              <w:jc w:val="center"/>
              <w:outlineLvl w:val="0"/>
              <w:rPr>
                <w:rFonts w:ascii="宋体" w:hAnsi="宋体" w:eastAsia="宋体" w:cs="宋体"/>
                <w:color w:val="auto"/>
                <w:sz w:val="24"/>
                <w:highlight w:val="none"/>
              </w:rPr>
            </w:pPr>
          </w:p>
        </w:tc>
        <w:tc>
          <w:tcPr>
            <w:tcW w:w="1657" w:type="dxa"/>
            <w:vAlign w:val="center"/>
          </w:tcPr>
          <w:p>
            <w:pPr>
              <w:jc w:val="center"/>
              <w:outlineLvl w:val="0"/>
              <w:rPr>
                <w:rFonts w:ascii="宋体" w:hAnsi="宋体" w:eastAsia="宋体" w:cs="宋体"/>
                <w:color w:val="auto"/>
                <w:sz w:val="24"/>
                <w:highlight w:val="none"/>
              </w:rPr>
            </w:pPr>
          </w:p>
        </w:tc>
        <w:tc>
          <w:tcPr>
            <w:tcW w:w="995" w:type="dxa"/>
            <w:vAlign w:val="center"/>
          </w:tcPr>
          <w:p>
            <w:pPr>
              <w:jc w:val="center"/>
              <w:outlineLvl w:val="0"/>
              <w:rPr>
                <w:rFonts w:ascii="宋体" w:hAnsi="宋体" w:eastAsia="宋体" w:cs="宋体"/>
                <w:color w:val="auto"/>
                <w:sz w:val="24"/>
                <w:highlight w:val="none"/>
              </w:rPr>
            </w:pPr>
          </w:p>
        </w:tc>
        <w:tc>
          <w:tcPr>
            <w:tcW w:w="1159" w:type="dxa"/>
            <w:vAlign w:val="center"/>
          </w:tcPr>
          <w:p>
            <w:pPr>
              <w:jc w:val="center"/>
              <w:outlineLvl w:val="0"/>
              <w:rPr>
                <w:rFonts w:ascii="宋体" w:hAnsi="宋体" w:eastAsia="宋体" w:cs="宋体"/>
                <w:color w:val="auto"/>
                <w:sz w:val="24"/>
                <w:highlight w:val="none"/>
              </w:rPr>
            </w:pPr>
          </w:p>
        </w:tc>
        <w:tc>
          <w:tcPr>
            <w:tcW w:w="995" w:type="dxa"/>
            <w:vAlign w:val="center"/>
          </w:tcPr>
          <w:p>
            <w:pPr>
              <w:jc w:val="center"/>
              <w:outlineLvl w:val="0"/>
              <w:rPr>
                <w:rFonts w:ascii="宋体" w:hAnsi="宋体" w:eastAsia="宋体" w:cs="宋体"/>
                <w:color w:val="auto"/>
                <w:sz w:val="24"/>
                <w:highlight w:val="none"/>
              </w:rPr>
            </w:pPr>
          </w:p>
        </w:tc>
        <w:tc>
          <w:tcPr>
            <w:tcW w:w="1159" w:type="dxa"/>
            <w:vAlign w:val="center"/>
          </w:tcPr>
          <w:p>
            <w:pPr>
              <w:jc w:val="center"/>
              <w:outlineLvl w:val="0"/>
              <w:rPr>
                <w:rFonts w:ascii="宋体" w:hAnsi="宋体" w:eastAsia="宋体" w:cs="宋体"/>
                <w:color w:val="auto"/>
                <w:sz w:val="24"/>
                <w:highlight w:val="none"/>
              </w:rPr>
            </w:pPr>
          </w:p>
        </w:tc>
        <w:tc>
          <w:tcPr>
            <w:tcW w:w="827" w:type="dxa"/>
            <w:vAlign w:val="center"/>
          </w:tcPr>
          <w:p>
            <w:pPr>
              <w:jc w:val="center"/>
              <w:outlineLvl w:val="0"/>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016" w:type="dxa"/>
            <w:vAlign w:val="center"/>
          </w:tcPr>
          <w:p>
            <w:pPr>
              <w:jc w:val="center"/>
              <w:outlineLvl w:val="0"/>
              <w:rPr>
                <w:rFonts w:ascii="宋体" w:hAnsi="宋体" w:eastAsia="宋体" w:cs="宋体"/>
                <w:color w:val="auto"/>
                <w:sz w:val="24"/>
                <w:highlight w:val="none"/>
              </w:rPr>
            </w:pPr>
          </w:p>
        </w:tc>
        <w:tc>
          <w:tcPr>
            <w:tcW w:w="1138" w:type="dxa"/>
            <w:vAlign w:val="center"/>
          </w:tcPr>
          <w:p>
            <w:pPr>
              <w:jc w:val="center"/>
              <w:outlineLvl w:val="0"/>
              <w:rPr>
                <w:rFonts w:ascii="宋体" w:hAnsi="宋体" w:eastAsia="宋体" w:cs="宋体"/>
                <w:color w:val="auto"/>
                <w:sz w:val="24"/>
                <w:highlight w:val="none"/>
              </w:rPr>
            </w:pPr>
          </w:p>
        </w:tc>
        <w:tc>
          <w:tcPr>
            <w:tcW w:w="1657" w:type="dxa"/>
            <w:vAlign w:val="center"/>
          </w:tcPr>
          <w:p>
            <w:pPr>
              <w:jc w:val="center"/>
              <w:outlineLvl w:val="0"/>
              <w:rPr>
                <w:rFonts w:ascii="宋体" w:hAnsi="宋体" w:eastAsia="宋体" w:cs="宋体"/>
                <w:color w:val="auto"/>
                <w:sz w:val="24"/>
                <w:highlight w:val="none"/>
              </w:rPr>
            </w:pPr>
          </w:p>
        </w:tc>
        <w:tc>
          <w:tcPr>
            <w:tcW w:w="995" w:type="dxa"/>
            <w:vAlign w:val="center"/>
          </w:tcPr>
          <w:p>
            <w:pPr>
              <w:jc w:val="center"/>
              <w:outlineLvl w:val="0"/>
              <w:rPr>
                <w:rFonts w:ascii="宋体" w:hAnsi="宋体" w:eastAsia="宋体" w:cs="宋体"/>
                <w:color w:val="auto"/>
                <w:sz w:val="24"/>
                <w:highlight w:val="none"/>
              </w:rPr>
            </w:pPr>
          </w:p>
        </w:tc>
        <w:tc>
          <w:tcPr>
            <w:tcW w:w="1159" w:type="dxa"/>
            <w:vAlign w:val="center"/>
          </w:tcPr>
          <w:p>
            <w:pPr>
              <w:jc w:val="center"/>
              <w:outlineLvl w:val="0"/>
              <w:rPr>
                <w:rFonts w:ascii="宋体" w:hAnsi="宋体" w:eastAsia="宋体" w:cs="宋体"/>
                <w:color w:val="auto"/>
                <w:sz w:val="24"/>
                <w:highlight w:val="none"/>
              </w:rPr>
            </w:pPr>
          </w:p>
        </w:tc>
        <w:tc>
          <w:tcPr>
            <w:tcW w:w="995" w:type="dxa"/>
            <w:vAlign w:val="center"/>
          </w:tcPr>
          <w:p>
            <w:pPr>
              <w:jc w:val="center"/>
              <w:outlineLvl w:val="0"/>
              <w:rPr>
                <w:rFonts w:ascii="宋体" w:hAnsi="宋体" w:eastAsia="宋体" w:cs="宋体"/>
                <w:color w:val="auto"/>
                <w:sz w:val="24"/>
                <w:highlight w:val="none"/>
              </w:rPr>
            </w:pPr>
          </w:p>
        </w:tc>
        <w:tc>
          <w:tcPr>
            <w:tcW w:w="1159" w:type="dxa"/>
            <w:vAlign w:val="center"/>
          </w:tcPr>
          <w:p>
            <w:pPr>
              <w:jc w:val="center"/>
              <w:outlineLvl w:val="0"/>
              <w:rPr>
                <w:rFonts w:ascii="宋体" w:hAnsi="宋体" w:eastAsia="宋体" w:cs="宋体"/>
                <w:color w:val="auto"/>
                <w:sz w:val="24"/>
                <w:highlight w:val="none"/>
              </w:rPr>
            </w:pPr>
          </w:p>
        </w:tc>
        <w:tc>
          <w:tcPr>
            <w:tcW w:w="827" w:type="dxa"/>
            <w:vAlign w:val="center"/>
          </w:tcPr>
          <w:p>
            <w:pPr>
              <w:jc w:val="center"/>
              <w:outlineLvl w:val="0"/>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016" w:type="dxa"/>
            <w:vAlign w:val="center"/>
          </w:tcPr>
          <w:p>
            <w:pPr>
              <w:jc w:val="center"/>
              <w:outlineLvl w:val="0"/>
              <w:rPr>
                <w:rFonts w:ascii="宋体" w:hAnsi="宋体" w:eastAsia="宋体" w:cs="宋体"/>
                <w:color w:val="auto"/>
                <w:sz w:val="24"/>
                <w:highlight w:val="none"/>
              </w:rPr>
            </w:pPr>
          </w:p>
        </w:tc>
        <w:tc>
          <w:tcPr>
            <w:tcW w:w="1138" w:type="dxa"/>
            <w:vAlign w:val="center"/>
          </w:tcPr>
          <w:p>
            <w:pPr>
              <w:jc w:val="center"/>
              <w:outlineLvl w:val="0"/>
              <w:rPr>
                <w:rFonts w:ascii="宋体" w:hAnsi="宋体" w:eastAsia="宋体" w:cs="宋体"/>
                <w:color w:val="auto"/>
                <w:sz w:val="24"/>
                <w:highlight w:val="none"/>
              </w:rPr>
            </w:pPr>
          </w:p>
        </w:tc>
        <w:tc>
          <w:tcPr>
            <w:tcW w:w="1657" w:type="dxa"/>
            <w:vAlign w:val="center"/>
          </w:tcPr>
          <w:p>
            <w:pPr>
              <w:jc w:val="center"/>
              <w:outlineLvl w:val="0"/>
              <w:rPr>
                <w:rFonts w:ascii="宋体" w:hAnsi="宋体" w:eastAsia="宋体" w:cs="宋体"/>
                <w:color w:val="auto"/>
                <w:sz w:val="24"/>
                <w:highlight w:val="none"/>
              </w:rPr>
            </w:pPr>
          </w:p>
        </w:tc>
        <w:tc>
          <w:tcPr>
            <w:tcW w:w="995" w:type="dxa"/>
            <w:vAlign w:val="center"/>
          </w:tcPr>
          <w:p>
            <w:pPr>
              <w:jc w:val="center"/>
              <w:outlineLvl w:val="0"/>
              <w:rPr>
                <w:rFonts w:ascii="宋体" w:hAnsi="宋体" w:eastAsia="宋体" w:cs="宋体"/>
                <w:color w:val="auto"/>
                <w:sz w:val="24"/>
                <w:highlight w:val="none"/>
              </w:rPr>
            </w:pPr>
          </w:p>
        </w:tc>
        <w:tc>
          <w:tcPr>
            <w:tcW w:w="1159" w:type="dxa"/>
            <w:vAlign w:val="center"/>
          </w:tcPr>
          <w:p>
            <w:pPr>
              <w:jc w:val="center"/>
              <w:outlineLvl w:val="0"/>
              <w:rPr>
                <w:rFonts w:ascii="宋体" w:hAnsi="宋体" w:eastAsia="宋体" w:cs="宋体"/>
                <w:color w:val="auto"/>
                <w:sz w:val="24"/>
                <w:highlight w:val="none"/>
              </w:rPr>
            </w:pPr>
          </w:p>
        </w:tc>
        <w:tc>
          <w:tcPr>
            <w:tcW w:w="995" w:type="dxa"/>
            <w:vAlign w:val="center"/>
          </w:tcPr>
          <w:p>
            <w:pPr>
              <w:jc w:val="center"/>
              <w:outlineLvl w:val="0"/>
              <w:rPr>
                <w:rFonts w:ascii="宋体" w:hAnsi="宋体" w:eastAsia="宋体" w:cs="宋体"/>
                <w:color w:val="auto"/>
                <w:sz w:val="24"/>
                <w:highlight w:val="none"/>
              </w:rPr>
            </w:pPr>
          </w:p>
        </w:tc>
        <w:tc>
          <w:tcPr>
            <w:tcW w:w="1159" w:type="dxa"/>
            <w:vAlign w:val="center"/>
          </w:tcPr>
          <w:p>
            <w:pPr>
              <w:jc w:val="center"/>
              <w:outlineLvl w:val="0"/>
              <w:rPr>
                <w:rFonts w:ascii="宋体" w:hAnsi="宋体" w:eastAsia="宋体" w:cs="宋体"/>
                <w:color w:val="auto"/>
                <w:sz w:val="24"/>
                <w:highlight w:val="none"/>
              </w:rPr>
            </w:pPr>
          </w:p>
        </w:tc>
        <w:tc>
          <w:tcPr>
            <w:tcW w:w="827" w:type="dxa"/>
            <w:vAlign w:val="center"/>
          </w:tcPr>
          <w:p>
            <w:pPr>
              <w:jc w:val="center"/>
              <w:outlineLvl w:val="0"/>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16" w:type="dxa"/>
            <w:vAlign w:val="center"/>
          </w:tcPr>
          <w:p>
            <w:pPr>
              <w:jc w:val="center"/>
              <w:outlineLvl w:val="0"/>
              <w:rPr>
                <w:rFonts w:ascii="宋体" w:hAnsi="宋体" w:eastAsia="宋体" w:cs="宋体"/>
                <w:color w:val="auto"/>
                <w:sz w:val="24"/>
                <w:highlight w:val="none"/>
              </w:rPr>
            </w:pPr>
          </w:p>
        </w:tc>
        <w:tc>
          <w:tcPr>
            <w:tcW w:w="1138" w:type="dxa"/>
            <w:vAlign w:val="center"/>
          </w:tcPr>
          <w:p>
            <w:pPr>
              <w:jc w:val="center"/>
              <w:outlineLvl w:val="0"/>
              <w:rPr>
                <w:rFonts w:ascii="宋体" w:hAnsi="宋体" w:eastAsia="宋体" w:cs="宋体"/>
                <w:color w:val="auto"/>
                <w:sz w:val="24"/>
                <w:highlight w:val="none"/>
              </w:rPr>
            </w:pPr>
          </w:p>
        </w:tc>
        <w:tc>
          <w:tcPr>
            <w:tcW w:w="1657" w:type="dxa"/>
            <w:vAlign w:val="center"/>
          </w:tcPr>
          <w:p>
            <w:pPr>
              <w:jc w:val="center"/>
              <w:outlineLvl w:val="0"/>
              <w:rPr>
                <w:rFonts w:ascii="宋体" w:hAnsi="宋体" w:eastAsia="宋体" w:cs="宋体"/>
                <w:color w:val="auto"/>
                <w:sz w:val="24"/>
                <w:highlight w:val="none"/>
              </w:rPr>
            </w:pPr>
          </w:p>
        </w:tc>
        <w:tc>
          <w:tcPr>
            <w:tcW w:w="995" w:type="dxa"/>
            <w:vAlign w:val="center"/>
          </w:tcPr>
          <w:p>
            <w:pPr>
              <w:jc w:val="center"/>
              <w:outlineLvl w:val="0"/>
              <w:rPr>
                <w:rFonts w:ascii="宋体" w:hAnsi="宋体" w:eastAsia="宋体" w:cs="宋体"/>
                <w:color w:val="auto"/>
                <w:sz w:val="24"/>
                <w:highlight w:val="none"/>
              </w:rPr>
            </w:pPr>
          </w:p>
        </w:tc>
        <w:tc>
          <w:tcPr>
            <w:tcW w:w="1159" w:type="dxa"/>
            <w:vAlign w:val="center"/>
          </w:tcPr>
          <w:p>
            <w:pPr>
              <w:jc w:val="center"/>
              <w:outlineLvl w:val="0"/>
              <w:rPr>
                <w:rFonts w:ascii="宋体" w:hAnsi="宋体" w:eastAsia="宋体" w:cs="宋体"/>
                <w:color w:val="auto"/>
                <w:sz w:val="24"/>
                <w:highlight w:val="none"/>
              </w:rPr>
            </w:pPr>
          </w:p>
        </w:tc>
        <w:tc>
          <w:tcPr>
            <w:tcW w:w="995" w:type="dxa"/>
            <w:vAlign w:val="center"/>
          </w:tcPr>
          <w:p>
            <w:pPr>
              <w:jc w:val="center"/>
              <w:outlineLvl w:val="0"/>
              <w:rPr>
                <w:rFonts w:ascii="宋体" w:hAnsi="宋体" w:eastAsia="宋体" w:cs="宋体"/>
                <w:color w:val="auto"/>
                <w:sz w:val="24"/>
                <w:highlight w:val="none"/>
              </w:rPr>
            </w:pPr>
          </w:p>
        </w:tc>
        <w:tc>
          <w:tcPr>
            <w:tcW w:w="1159" w:type="dxa"/>
            <w:vAlign w:val="center"/>
          </w:tcPr>
          <w:p>
            <w:pPr>
              <w:jc w:val="center"/>
              <w:outlineLvl w:val="0"/>
              <w:rPr>
                <w:rFonts w:ascii="宋体" w:hAnsi="宋体" w:eastAsia="宋体" w:cs="宋体"/>
                <w:color w:val="auto"/>
                <w:sz w:val="24"/>
                <w:highlight w:val="none"/>
              </w:rPr>
            </w:pPr>
          </w:p>
        </w:tc>
        <w:tc>
          <w:tcPr>
            <w:tcW w:w="827" w:type="dxa"/>
            <w:vAlign w:val="center"/>
          </w:tcPr>
          <w:p>
            <w:pPr>
              <w:jc w:val="center"/>
              <w:outlineLvl w:val="0"/>
              <w:rPr>
                <w:rFonts w:ascii="宋体" w:hAnsi="宋体" w:eastAsia="宋体" w:cs="宋体"/>
                <w:color w:val="auto"/>
                <w:sz w:val="24"/>
                <w:highlight w:val="none"/>
              </w:rPr>
            </w:pPr>
          </w:p>
        </w:tc>
      </w:tr>
    </w:tbl>
    <w:p>
      <w:pPr>
        <w:outlineLvl w:val="0"/>
        <w:rPr>
          <w:rFonts w:ascii="宋体" w:hAnsi="宋体" w:eastAsia="宋体" w:cs="宋体"/>
          <w:color w:val="auto"/>
          <w:sz w:val="24"/>
          <w:highlight w:val="none"/>
        </w:rPr>
      </w:pPr>
    </w:p>
    <w:p>
      <w:pPr>
        <w:ind w:firstLine="240" w:firstLineChars="100"/>
        <w:outlineLvl w:val="0"/>
        <w:rPr>
          <w:rFonts w:ascii="宋体" w:hAnsi="宋体" w:eastAsia="宋体" w:cs="宋体"/>
          <w:color w:val="auto"/>
          <w:highlight w:val="none"/>
        </w:rPr>
      </w:pPr>
      <w:bookmarkStart w:id="191" w:name="_Toc2913"/>
      <w:bookmarkStart w:id="192" w:name="_Toc12448"/>
      <w:r>
        <w:rPr>
          <w:rFonts w:hint="eastAsia" w:ascii="宋体" w:hAnsi="宋体" w:eastAsia="宋体" w:cs="宋体"/>
          <w:color w:val="auto"/>
          <w:sz w:val="24"/>
          <w:highlight w:val="none"/>
        </w:rPr>
        <w:t>注：请将合同复印件附后。</w:t>
      </w:r>
      <w:bookmarkEnd w:id="191"/>
      <w:bookmarkEnd w:id="192"/>
    </w:p>
    <w:p>
      <w:pPr>
        <w:pStyle w:val="5"/>
        <w:jc w:val="center"/>
        <w:rPr>
          <w:rFonts w:ascii="宋体" w:hAnsi="宋体" w:eastAsia="宋体" w:cs="宋体"/>
          <w:color w:val="auto"/>
          <w:highlight w:val="none"/>
        </w:rPr>
      </w:pPr>
      <w:r>
        <w:rPr>
          <w:rFonts w:hint="eastAsia" w:ascii="宋体" w:hAnsi="宋体" w:eastAsia="宋体" w:cs="宋体"/>
          <w:color w:val="auto"/>
          <w:highlight w:val="none"/>
        </w:rPr>
        <w:t>（四）</w:t>
      </w:r>
      <w:bookmarkEnd w:id="164"/>
      <w:bookmarkEnd w:id="165"/>
      <w:bookmarkEnd w:id="166"/>
      <w:bookmarkEnd w:id="167"/>
      <w:bookmarkEnd w:id="168"/>
      <w:bookmarkEnd w:id="169"/>
      <w:bookmarkEnd w:id="170"/>
      <w:bookmarkStart w:id="193" w:name="_Toc247085892"/>
      <w:bookmarkStart w:id="194" w:name="_Toc246996374"/>
      <w:bookmarkStart w:id="195" w:name="_Toc296602622"/>
      <w:bookmarkStart w:id="196" w:name="_Toc246997117"/>
      <w:r>
        <w:rPr>
          <w:rFonts w:hint="eastAsia" w:ascii="宋体" w:hAnsi="宋体" w:eastAsia="宋体" w:cs="宋体"/>
          <w:color w:val="auto"/>
          <w:highlight w:val="none"/>
        </w:rPr>
        <w:t>近三年无重大违法记录的声明</w:t>
      </w:r>
    </w:p>
    <w:p>
      <w:pPr>
        <w:spacing w:line="640" w:lineRule="exact"/>
        <w:ind w:firstLine="1200" w:firstLineChars="500"/>
        <w:rPr>
          <w:rFonts w:ascii="宋体" w:hAnsi="宋体" w:eastAsia="宋体" w:cs="宋体"/>
          <w:color w:val="auto"/>
          <w:sz w:val="24"/>
          <w:highlight w:val="none"/>
        </w:rPr>
      </w:pPr>
      <w:r>
        <w:rPr>
          <w:rFonts w:hint="eastAsia" w:ascii="宋体" w:hAnsi="宋体" w:eastAsia="宋体" w:cs="宋体"/>
          <w:color w:val="auto"/>
          <w:sz w:val="24"/>
          <w:highlight w:val="none"/>
        </w:rPr>
        <w:t>：</w:t>
      </w:r>
    </w:p>
    <w:p>
      <w:pPr>
        <w:spacing w:line="6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我公司在2016年1月1日至2019年   月   日（开标日期）期间，在经营活动中不存在因违法经营受到刑事处罚或者责令停产停业、吊销许可证或者执照、较大数额罚款等行政处罚等重大违法情况，特此声明。</w:t>
      </w:r>
    </w:p>
    <w:p>
      <w:pPr>
        <w:spacing w:line="640" w:lineRule="exact"/>
        <w:ind w:firstLine="435"/>
        <w:rPr>
          <w:rFonts w:ascii="宋体" w:hAnsi="宋体" w:eastAsia="宋体" w:cs="宋体"/>
          <w:color w:val="auto"/>
          <w:sz w:val="24"/>
          <w:highlight w:val="none"/>
        </w:rPr>
      </w:pPr>
    </w:p>
    <w:p>
      <w:pPr>
        <w:spacing w:line="640" w:lineRule="exact"/>
        <w:ind w:firstLine="435"/>
        <w:rPr>
          <w:rFonts w:ascii="宋体" w:hAnsi="宋体" w:eastAsia="宋体" w:cs="宋体"/>
          <w:color w:val="auto"/>
          <w:sz w:val="24"/>
          <w:highlight w:val="none"/>
        </w:rPr>
      </w:pPr>
    </w:p>
    <w:p>
      <w:pPr>
        <w:spacing w:line="6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 xml:space="preserve">                                                            （加盖单位公章）</w:t>
      </w:r>
    </w:p>
    <w:p>
      <w:pPr>
        <w:spacing w:line="6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 xml:space="preserve">                                                              2019年 月  日</w:t>
      </w:r>
    </w:p>
    <w:p>
      <w:pPr>
        <w:spacing w:line="640" w:lineRule="exact"/>
        <w:ind w:firstLine="435"/>
        <w:rPr>
          <w:rFonts w:ascii="宋体" w:hAnsi="宋体" w:eastAsia="宋体" w:cs="宋体"/>
          <w:color w:val="auto"/>
          <w:highlight w:val="none"/>
        </w:rPr>
      </w:pPr>
    </w:p>
    <w:p>
      <w:pPr>
        <w:spacing w:line="640" w:lineRule="exact"/>
        <w:ind w:firstLine="435"/>
        <w:rPr>
          <w:rFonts w:ascii="宋体" w:hAnsi="宋体" w:eastAsia="宋体" w:cs="宋体"/>
          <w:color w:val="auto"/>
          <w:highlight w:val="none"/>
        </w:rPr>
      </w:pPr>
    </w:p>
    <w:p>
      <w:pPr>
        <w:spacing w:line="640" w:lineRule="exact"/>
        <w:ind w:firstLine="435"/>
        <w:rPr>
          <w:rFonts w:ascii="宋体" w:hAnsi="宋体" w:eastAsia="宋体" w:cs="宋体"/>
          <w:color w:val="auto"/>
          <w:highlight w:val="none"/>
        </w:rPr>
      </w:pPr>
    </w:p>
    <w:p>
      <w:pPr>
        <w:spacing w:line="640" w:lineRule="exact"/>
        <w:ind w:firstLine="435"/>
        <w:rPr>
          <w:rFonts w:ascii="宋体" w:hAnsi="宋体" w:eastAsia="宋体" w:cs="宋体"/>
          <w:color w:val="auto"/>
          <w:highlight w:val="none"/>
        </w:rPr>
      </w:pPr>
    </w:p>
    <w:p>
      <w:pPr>
        <w:spacing w:line="640" w:lineRule="exact"/>
        <w:ind w:firstLine="435"/>
        <w:rPr>
          <w:rFonts w:ascii="宋体" w:hAnsi="宋体" w:eastAsia="宋体" w:cs="宋体"/>
          <w:color w:val="auto"/>
          <w:highlight w:val="none"/>
        </w:rPr>
      </w:pPr>
    </w:p>
    <w:p>
      <w:pPr>
        <w:spacing w:line="640" w:lineRule="exact"/>
        <w:rPr>
          <w:rFonts w:ascii="宋体" w:hAnsi="宋体" w:eastAsia="宋体" w:cs="宋体"/>
          <w:color w:val="auto"/>
          <w:highlight w:val="none"/>
        </w:rPr>
      </w:pPr>
    </w:p>
    <w:p>
      <w:pPr>
        <w:pStyle w:val="5"/>
        <w:jc w:val="center"/>
        <w:rPr>
          <w:rFonts w:ascii="宋体" w:hAnsi="宋体" w:eastAsia="宋体" w:cs="宋体"/>
          <w:color w:val="auto"/>
          <w:highlight w:val="none"/>
        </w:rPr>
      </w:pPr>
      <w:r>
        <w:rPr>
          <w:rFonts w:hint="eastAsia" w:ascii="宋体" w:hAnsi="宋体" w:eastAsia="宋体" w:cs="宋体"/>
          <w:color w:val="auto"/>
          <w:highlight w:val="none"/>
        </w:rPr>
        <w:t>（五）其他资格审查资料</w:t>
      </w:r>
      <w:bookmarkEnd w:id="153"/>
      <w:bookmarkEnd w:id="154"/>
      <w:bookmarkEnd w:id="155"/>
      <w:bookmarkEnd w:id="156"/>
      <w:bookmarkEnd w:id="193"/>
      <w:bookmarkEnd w:id="194"/>
      <w:bookmarkEnd w:id="195"/>
      <w:bookmarkEnd w:id="196"/>
    </w:p>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pStyle w:val="25"/>
        <w:rPr>
          <w:rFonts w:eastAsia="宋体"/>
          <w:color w:val="auto"/>
          <w:highlight w:val="none"/>
        </w:rPr>
      </w:pPr>
    </w:p>
    <w:p>
      <w:pPr>
        <w:pStyle w:val="25"/>
        <w:rPr>
          <w:rFonts w:eastAsia="宋体"/>
          <w:color w:val="auto"/>
          <w:highlight w:val="none"/>
        </w:rPr>
      </w:pPr>
    </w:p>
    <w:p>
      <w:pPr>
        <w:pStyle w:val="25"/>
        <w:rPr>
          <w:rFonts w:eastAsia="宋体"/>
          <w:color w:val="auto"/>
          <w:highlight w:val="none"/>
        </w:rPr>
      </w:pPr>
    </w:p>
    <w:p>
      <w:pPr>
        <w:pStyle w:val="25"/>
        <w:ind w:firstLine="0" w:firstLineChars="0"/>
        <w:rPr>
          <w:rFonts w:eastAsia="宋体"/>
          <w:color w:val="auto"/>
          <w:highlight w:val="none"/>
        </w:rPr>
      </w:pPr>
    </w:p>
    <w:p>
      <w:pPr>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六、供应商其他信誉</w:t>
      </w:r>
    </w:p>
    <w:p>
      <w:pPr>
        <w:jc w:val="center"/>
        <w:rPr>
          <w:rFonts w:ascii="宋体" w:hAnsi="宋体" w:eastAsia="宋体" w:cs="宋体"/>
          <w:b/>
          <w:bCs/>
          <w:color w:val="auto"/>
          <w:sz w:val="32"/>
          <w:szCs w:val="32"/>
          <w:highlight w:val="none"/>
        </w:rPr>
      </w:pPr>
    </w:p>
    <w:p>
      <w:pPr>
        <w:jc w:val="center"/>
        <w:rPr>
          <w:rFonts w:ascii="宋体" w:hAnsi="宋体" w:eastAsia="宋体" w:cs="宋体"/>
          <w:b/>
          <w:bCs/>
          <w:color w:val="auto"/>
          <w:sz w:val="32"/>
          <w:szCs w:val="32"/>
          <w:highlight w:val="none"/>
        </w:rPr>
      </w:pPr>
    </w:p>
    <w:p>
      <w:pPr>
        <w:jc w:val="center"/>
        <w:rPr>
          <w:rFonts w:ascii="宋体" w:hAnsi="宋体" w:eastAsia="宋体" w:cs="宋体"/>
          <w:b/>
          <w:bCs/>
          <w:color w:val="auto"/>
          <w:sz w:val="32"/>
          <w:szCs w:val="32"/>
          <w:highlight w:val="none"/>
        </w:rPr>
      </w:pPr>
    </w:p>
    <w:p>
      <w:pPr>
        <w:jc w:val="center"/>
        <w:rPr>
          <w:rFonts w:ascii="宋体" w:hAnsi="宋体" w:eastAsia="宋体" w:cs="宋体"/>
          <w:b/>
          <w:bCs/>
          <w:color w:val="auto"/>
          <w:sz w:val="32"/>
          <w:szCs w:val="32"/>
          <w:highlight w:val="none"/>
        </w:rPr>
      </w:pPr>
    </w:p>
    <w:p>
      <w:pPr>
        <w:jc w:val="center"/>
        <w:rPr>
          <w:rFonts w:ascii="宋体" w:hAnsi="宋体" w:eastAsia="宋体" w:cs="宋体"/>
          <w:b/>
          <w:bCs/>
          <w:color w:val="auto"/>
          <w:sz w:val="32"/>
          <w:szCs w:val="32"/>
          <w:highlight w:val="none"/>
        </w:rPr>
      </w:pPr>
    </w:p>
    <w:p>
      <w:pPr>
        <w:jc w:val="center"/>
        <w:rPr>
          <w:rFonts w:ascii="宋体" w:hAnsi="宋体" w:eastAsia="宋体" w:cs="宋体"/>
          <w:b/>
          <w:bCs/>
          <w:color w:val="auto"/>
          <w:sz w:val="32"/>
          <w:szCs w:val="32"/>
          <w:highlight w:val="none"/>
        </w:rPr>
      </w:pPr>
    </w:p>
    <w:p>
      <w:pPr>
        <w:jc w:val="center"/>
        <w:rPr>
          <w:rFonts w:ascii="宋体" w:hAnsi="宋体" w:eastAsia="宋体" w:cs="宋体"/>
          <w:b/>
          <w:bCs/>
          <w:color w:val="auto"/>
          <w:sz w:val="32"/>
          <w:szCs w:val="32"/>
          <w:highlight w:val="none"/>
        </w:rPr>
      </w:pPr>
    </w:p>
    <w:p>
      <w:pPr>
        <w:jc w:val="center"/>
        <w:rPr>
          <w:rFonts w:ascii="宋体" w:hAnsi="宋体" w:eastAsia="宋体" w:cs="宋体"/>
          <w:b/>
          <w:bCs/>
          <w:color w:val="auto"/>
          <w:sz w:val="32"/>
          <w:szCs w:val="32"/>
          <w:highlight w:val="none"/>
        </w:rPr>
      </w:pPr>
    </w:p>
    <w:p>
      <w:pPr>
        <w:jc w:val="center"/>
        <w:rPr>
          <w:rFonts w:ascii="宋体" w:hAnsi="宋体" w:eastAsia="宋体" w:cs="宋体"/>
          <w:b/>
          <w:bCs/>
          <w:color w:val="auto"/>
          <w:sz w:val="32"/>
          <w:szCs w:val="32"/>
          <w:highlight w:val="none"/>
        </w:rPr>
      </w:pPr>
    </w:p>
    <w:p>
      <w:pPr>
        <w:jc w:val="center"/>
        <w:rPr>
          <w:rFonts w:ascii="宋体" w:hAnsi="宋体" w:eastAsia="宋体" w:cs="宋体"/>
          <w:b/>
          <w:bCs/>
          <w:color w:val="auto"/>
          <w:sz w:val="32"/>
          <w:szCs w:val="32"/>
          <w:highlight w:val="none"/>
        </w:rPr>
      </w:pPr>
    </w:p>
    <w:p>
      <w:pPr>
        <w:pStyle w:val="25"/>
        <w:ind w:firstLine="643"/>
        <w:rPr>
          <w:rFonts w:eastAsia="宋体"/>
          <w:b/>
          <w:bCs/>
          <w:color w:val="auto"/>
          <w:sz w:val="32"/>
          <w:szCs w:val="32"/>
          <w:highlight w:val="none"/>
        </w:rPr>
      </w:pPr>
    </w:p>
    <w:p>
      <w:pPr>
        <w:pStyle w:val="25"/>
        <w:ind w:firstLine="643"/>
        <w:rPr>
          <w:rFonts w:eastAsia="宋体"/>
          <w:b/>
          <w:bCs/>
          <w:color w:val="auto"/>
          <w:sz w:val="32"/>
          <w:szCs w:val="32"/>
          <w:highlight w:val="none"/>
        </w:rPr>
      </w:pPr>
    </w:p>
    <w:p>
      <w:pPr>
        <w:pStyle w:val="25"/>
        <w:ind w:firstLine="643"/>
        <w:rPr>
          <w:rFonts w:eastAsia="宋体"/>
          <w:b/>
          <w:bCs/>
          <w:color w:val="auto"/>
          <w:sz w:val="32"/>
          <w:szCs w:val="32"/>
          <w:highlight w:val="none"/>
        </w:rPr>
      </w:pPr>
    </w:p>
    <w:p>
      <w:pPr>
        <w:pStyle w:val="25"/>
        <w:ind w:firstLine="643"/>
        <w:rPr>
          <w:rFonts w:eastAsia="宋体"/>
          <w:b/>
          <w:bCs/>
          <w:color w:val="auto"/>
          <w:sz w:val="32"/>
          <w:szCs w:val="32"/>
          <w:highlight w:val="none"/>
        </w:rPr>
      </w:pPr>
    </w:p>
    <w:p>
      <w:pPr>
        <w:pStyle w:val="25"/>
        <w:ind w:firstLine="643"/>
        <w:rPr>
          <w:rFonts w:eastAsia="宋体"/>
          <w:b/>
          <w:bCs/>
          <w:color w:val="auto"/>
          <w:sz w:val="32"/>
          <w:szCs w:val="32"/>
          <w:highlight w:val="none"/>
        </w:rPr>
      </w:pPr>
    </w:p>
    <w:p>
      <w:pPr>
        <w:pStyle w:val="25"/>
        <w:ind w:firstLine="643"/>
        <w:rPr>
          <w:rFonts w:eastAsia="宋体"/>
          <w:b/>
          <w:bCs/>
          <w:color w:val="auto"/>
          <w:sz w:val="32"/>
          <w:szCs w:val="32"/>
          <w:highlight w:val="none"/>
        </w:rPr>
      </w:pPr>
    </w:p>
    <w:p>
      <w:pPr>
        <w:pStyle w:val="25"/>
        <w:ind w:firstLine="643"/>
        <w:rPr>
          <w:rFonts w:eastAsia="宋体"/>
          <w:b/>
          <w:bCs/>
          <w:color w:val="auto"/>
          <w:sz w:val="32"/>
          <w:szCs w:val="32"/>
          <w:highlight w:val="none"/>
        </w:rPr>
      </w:pPr>
    </w:p>
    <w:p>
      <w:pPr>
        <w:pStyle w:val="25"/>
        <w:ind w:firstLine="643"/>
        <w:rPr>
          <w:rFonts w:eastAsia="宋体"/>
          <w:b/>
          <w:bCs/>
          <w:color w:val="auto"/>
          <w:sz w:val="32"/>
          <w:szCs w:val="32"/>
          <w:highlight w:val="none"/>
        </w:rPr>
      </w:pPr>
    </w:p>
    <w:p>
      <w:pPr>
        <w:pStyle w:val="25"/>
        <w:ind w:firstLine="643"/>
        <w:rPr>
          <w:rFonts w:eastAsia="宋体"/>
          <w:b/>
          <w:bCs/>
          <w:color w:val="auto"/>
          <w:sz w:val="32"/>
          <w:szCs w:val="32"/>
          <w:highlight w:val="none"/>
        </w:rPr>
      </w:pPr>
    </w:p>
    <w:p>
      <w:pPr>
        <w:pStyle w:val="25"/>
        <w:ind w:firstLine="643"/>
        <w:rPr>
          <w:rFonts w:eastAsia="宋体"/>
          <w:b/>
          <w:bCs/>
          <w:color w:val="auto"/>
          <w:sz w:val="32"/>
          <w:szCs w:val="32"/>
          <w:highlight w:val="none"/>
        </w:rPr>
      </w:pPr>
    </w:p>
    <w:p>
      <w:pPr>
        <w:pStyle w:val="25"/>
        <w:ind w:firstLine="643"/>
        <w:rPr>
          <w:rFonts w:eastAsia="宋体"/>
          <w:b/>
          <w:bCs/>
          <w:color w:val="auto"/>
          <w:sz w:val="32"/>
          <w:szCs w:val="32"/>
          <w:highlight w:val="none"/>
        </w:rPr>
      </w:pPr>
    </w:p>
    <w:p>
      <w:pPr>
        <w:pStyle w:val="25"/>
        <w:ind w:firstLine="643"/>
        <w:rPr>
          <w:rFonts w:eastAsia="宋体"/>
          <w:b/>
          <w:bCs/>
          <w:color w:val="auto"/>
          <w:sz w:val="32"/>
          <w:szCs w:val="32"/>
          <w:highlight w:val="none"/>
        </w:rPr>
      </w:pPr>
    </w:p>
    <w:p>
      <w:pPr>
        <w:pStyle w:val="25"/>
        <w:ind w:firstLine="643"/>
        <w:rPr>
          <w:rFonts w:eastAsia="宋体"/>
          <w:b/>
          <w:bCs/>
          <w:color w:val="auto"/>
          <w:sz w:val="32"/>
          <w:szCs w:val="32"/>
          <w:highlight w:val="none"/>
        </w:rPr>
      </w:pPr>
    </w:p>
    <w:p>
      <w:pPr>
        <w:pStyle w:val="25"/>
        <w:ind w:firstLine="0" w:firstLineChars="0"/>
        <w:jc w:val="center"/>
        <w:rPr>
          <w:rFonts w:eastAsia="宋体"/>
          <w:b/>
          <w:bCs/>
          <w:color w:val="auto"/>
          <w:kern w:val="2"/>
          <w:sz w:val="32"/>
          <w:szCs w:val="32"/>
          <w:highlight w:val="none"/>
        </w:rPr>
      </w:pPr>
      <w:r>
        <w:rPr>
          <w:rFonts w:hint="eastAsia" w:eastAsia="宋体"/>
          <w:b/>
          <w:bCs/>
          <w:color w:val="auto"/>
          <w:kern w:val="2"/>
          <w:sz w:val="32"/>
          <w:szCs w:val="32"/>
          <w:highlight w:val="none"/>
        </w:rPr>
        <w:t>七、技术部分</w:t>
      </w:r>
    </w:p>
    <w:p>
      <w:pPr>
        <w:pStyle w:val="25"/>
        <w:ind w:firstLine="0" w:firstLineChars="0"/>
        <w:rPr>
          <w:rFonts w:eastAsia="宋体"/>
          <w:b/>
          <w:bCs/>
          <w:color w:val="auto"/>
          <w:kern w:val="2"/>
          <w:sz w:val="32"/>
          <w:szCs w:val="32"/>
          <w:highlight w:val="none"/>
        </w:rPr>
      </w:pPr>
    </w:p>
    <w:p>
      <w:pPr>
        <w:pStyle w:val="25"/>
        <w:ind w:firstLine="0" w:firstLineChars="0"/>
        <w:jc w:val="center"/>
        <w:rPr>
          <w:rFonts w:eastAsia="宋体"/>
          <w:b/>
          <w:bCs/>
          <w:color w:val="auto"/>
          <w:kern w:val="2"/>
          <w:sz w:val="32"/>
          <w:szCs w:val="32"/>
          <w:highlight w:val="none"/>
        </w:rPr>
      </w:pPr>
      <w:r>
        <w:rPr>
          <w:rFonts w:hint="eastAsia" w:eastAsia="宋体"/>
          <w:b/>
          <w:bCs/>
          <w:color w:val="auto"/>
          <w:kern w:val="2"/>
          <w:sz w:val="32"/>
          <w:szCs w:val="32"/>
          <w:highlight w:val="none"/>
        </w:rPr>
        <w:t>（一）施工组织设计</w:t>
      </w:r>
    </w:p>
    <w:p>
      <w:pPr>
        <w:pStyle w:val="25"/>
        <w:ind w:firstLine="0" w:firstLineChars="0"/>
        <w:jc w:val="center"/>
        <w:rPr>
          <w:rFonts w:eastAsia="宋体"/>
          <w:b/>
          <w:bCs/>
          <w:color w:val="auto"/>
          <w:kern w:val="2"/>
          <w:sz w:val="32"/>
          <w:szCs w:val="32"/>
          <w:highlight w:val="none"/>
        </w:rPr>
      </w:pPr>
    </w:p>
    <w:p>
      <w:pPr>
        <w:pStyle w:val="25"/>
        <w:ind w:firstLine="0" w:firstLineChars="0"/>
        <w:jc w:val="center"/>
        <w:rPr>
          <w:rFonts w:eastAsia="宋体"/>
          <w:b/>
          <w:bCs/>
          <w:color w:val="auto"/>
          <w:kern w:val="2"/>
          <w:sz w:val="32"/>
          <w:szCs w:val="32"/>
          <w:highlight w:val="none"/>
        </w:rPr>
      </w:pPr>
    </w:p>
    <w:p>
      <w:pPr>
        <w:pStyle w:val="25"/>
        <w:ind w:firstLine="0" w:firstLineChars="0"/>
        <w:jc w:val="center"/>
        <w:rPr>
          <w:rFonts w:eastAsia="宋体"/>
          <w:b/>
          <w:bCs/>
          <w:color w:val="auto"/>
          <w:kern w:val="2"/>
          <w:sz w:val="32"/>
          <w:szCs w:val="32"/>
          <w:highlight w:val="none"/>
        </w:rPr>
      </w:pPr>
    </w:p>
    <w:p>
      <w:pPr>
        <w:pStyle w:val="25"/>
        <w:numPr>
          <w:ilvl w:val="0"/>
          <w:numId w:val="1"/>
        </w:numPr>
        <w:ind w:firstLine="0" w:firstLineChars="0"/>
        <w:jc w:val="center"/>
        <w:rPr>
          <w:rFonts w:eastAsia="宋体"/>
          <w:b/>
          <w:bCs/>
          <w:color w:val="auto"/>
          <w:kern w:val="2"/>
          <w:sz w:val="32"/>
          <w:szCs w:val="32"/>
          <w:highlight w:val="none"/>
        </w:rPr>
      </w:pPr>
      <w:r>
        <w:rPr>
          <w:rFonts w:hint="eastAsia" w:eastAsia="宋体"/>
          <w:b/>
          <w:bCs/>
          <w:color w:val="auto"/>
          <w:kern w:val="2"/>
          <w:sz w:val="32"/>
          <w:szCs w:val="32"/>
          <w:highlight w:val="none"/>
        </w:rPr>
        <w:t>服务承诺及优惠条款</w:t>
      </w:r>
    </w:p>
    <w:p>
      <w:pPr>
        <w:pStyle w:val="25"/>
        <w:ind w:firstLine="0" w:firstLineChars="0"/>
        <w:rPr>
          <w:rFonts w:eastAsia="宋体"/>
          <w:b/>
          <w:bCs/>
          <w:color w:val="auto"/>
          <w:kern w:val="2"/>
          <w:sz w:val="32"/>
          <w:szCs w:val="32"/>
          <w:highlight w:val="none"/>
        </w:rPr>
      </w:pPr>
    </w:p>
    <w:p>
      <w:pPr>
        <w:pStyle w:val="25"/>
        <w:ind w:firstLine="0" w:firstLineChars="0"/>
        <w:rPr>
          <w:rFonts w:eastAsia="宋体"/>
          <w:b/>
          <w:bCs/>
          <w:color w:val="auto"/>
          <w:kern w:val="2"/>
          <w:sz w:val="32"/>
          <w:szCs w:val="32"/>
          <w:highlight w:val="none"/>
        </w:rPr>
      </w:pPr>
    </w:p>
    <w:p>
      <w:pPr>
        <w:pStyle w:val="25"/>
        <w:ind w:firstLine="0" w:firstLineChars="0"/>
        <w:rPr>
          <w:rFonts w:eastAsia="宋体"/>
          <w:b/>
          <w:bCs/>
          <w:color w:val="auto"/>
          <w:kern w:val="2"/>
          <w:sz w:val="32"/>
          <w:szCs w:val="32"/>
          <w:highlight w:val="none"/>
        </w:rPr>
      </w:pPr>
    </w:p>
    <w:p>
      <w:pPr>
        <w:pStyle w:val="25"/>
        <w:ind w:firstLine="0" w:firstLineChars="0"/>
        <w:rPr>
          <w:rFonts w:eastAsia="宋体"/>
          <w:b/>
          <w:bCs/>
          <w:color w:val="auto"/>
          <w:kern w:val="2"/>
          <w:sz w:val="32"/>
          <w:szCs w:val="32"/>
          <w:highlight w:val="none"/>
        </w:rPr>
      </w:pPr>
    </w:p>
    <w:p>
      <w:pPr>
        <w:pStyle w:val="25"/>
        <w:ind w:firstLine="0" w:firstLineChars="0"/>
        <w:rPr>
          <w:rFonts w:eastAsia="宋体"/>
          <w:b/>
          <w:bCs/>
          <w:color w:val="auto"/>
          <w:kern w:val="2"/>
          <w:sz w:val="32"/>
          <w:szCs w:val="32"/>
          <w:highlight w:val="none"/>
        </w:rPr>
      </w:pPr>
    </w:p>
    <w:p>
      <w:pPr>
        <w:pStyle w:val="25"/>
        <w:ind w:firstLine="0" w:firstLineChars="0"/>
        <w:rPr>
          <w:rFonts w:eastAsia="宋体"/>
          <w:b/>
          <w:bCs/>
          <w:color w:val="auto"/>
          <w:kern w:val="2"/>
          <w:sz w:val="32"/>
          <w:szCs w:val="32"/>
          <w:highlight w:val="none"/>
        </w:rPr>
      </w:pPr>
    </w:p>
    <w:p>
      <w:pPr>
        <w:pStyle w:val="25"/>
        <w:ind w:firstLine="0" w:firstLineChars="0"/>
        <w:rPr>
          <w:rFonts w:eastAsia="宋体"/>
          <w:b/>
          <w:bCs/>
          <w:color w:val="auto"/>
          <w:kern w:val="2"/>
          <w:sz w:val="32"/>
          <w:szCs w:val="32"/>
          <w:highlight w:val="none"/>
        </w:rPr>
      </w:pPr>
    </w:p>
    <w:p>
      <w:pPr>
        <w:pStyle w:val="25"/>
        <w:ind w:firstLine="0" w:firstLineChars="0"/>
        <w:rPr>
          <w:rFonts w:eastAsia="宋体"/>
          <w:b/>
          <w:bCs/>
          <w:color w:val="auto"/>
          <w:kern w:val="2"/>
          <w:sz w:val="32"/>
          <w:szCs w:val="32"/>
          <w:highlight w:val="none"/>
        </w:rPr>
      </w:pPr>
    </w:p>
    <w:p>
      <w:pPr>
        <w:pStyle w:val="25"/>
        <w:ind w:firstLine="0" w:firstLineChars="0"/>
        <w:rPr>
          <w:rFonts w:eastAsia="宋体"/>
          <w:b/>
          <w:bCs/>
          <w:color w:val="auto"/>
          <w:kern w:val="2"/>
          <w:sz w:val="32"/>
          <w:szCs w:val="32"/>
          <w:highlight w:val="none"/>
        </w:rPr>
      </w:pPr>
    </w:p>
    <w:p>
      <w:pPr>
        <w:pStyle w:val="25"/>
        <w:ind w:firstLine="0" w:firstLineChars="0"/>
        <w:rPr>
          <w:rFonts w:eastAsia="宋体"/>
          <w:b/>
          <w:bCs/>
          <w:color w:val="auto"/>
          <w:kern w:val="2"/>
          <w:sz w:val="32"/>
          <w:szCs w:val="32"/>
          <w:highlight w:val="none"/>
        </w:rPr>
      </w:pPr>
    </w:p>
    <w:p>
      <w:pPr>
        <w:pStyle w:val="25"/>
        <w:ind w:firstLine="0" w:firstLineChars="0"/>
        <w:rPr>
          <w:rFonts w:eastAsia="宋体"/>
          <w:b/>
          <w:bCs/>
          <w:color w:val="auto"/>
          <w:kern w:val="2"/>
          <w:sz w:val="32"/>
          <w:szCs w:val="32"/>
          <w:highlight w:val="none"/>
        </w:rPr>
      </w:pPr>
    </w:p>
    <w:p>
      <w:pPr>
        <w:pStyle w:val="25"/>
        <w:ind w:firstLine="0" w:firstLineChars="0"/>
        <w:rPr>
          <w:rFonts w:eastAsia="宋体"/>
          <w:b/>
          <w:bCs/>
          <w:color w:val="auto"/>
          <w:kern w:val="2"/>
          <w:sz w:val="32"/>
          <w:szCs w:val="32"/>
          <w:highlight w:val="none"/>
        </w:rPr>
      </w:pPr>
    </w:p>
    <w:p>
      <w:pPr>
        <w:pStyle w:val="25"/>
        <w:ind w:firstLine="0" w:firstLineChars="0"/>
        <w:rPr>
          <w:rFonts w:eastAsia="宋体"/>
          <w:b/>
          <w:bCs/>
          <w:color w:val="auto"/>
          <w:kern w:val="2"/>
          <w:sz w:val="32"/>
          <w:szCs w:val="32"/>
          <w:highlight w:val="none"/>
        </w:rPr>
      </w:pPr>
    </w:p>
    <w:p>
      <w:pPr>
        <w:pStyle w:val="25"/>
        <w:ind w:firstLine="0" w:firstLineChars="0"/>
        <w:rPr>
          <w:rFonts w:eastAsia="宋体"/>
          <w:b/>
          <w:bCs/>
          <w:color w:val="auto"/>
          <w:kern w:val="2"/>
          <w:sz w:val="32"/>
          <w:szCs w:val="32"/>
          <w:highlight w:val="none"/>
        </w:rPr>
      </w:pPr>
    </w:p>
    <w:p>
      <w:pPr>
        <w:pStyle w:val="25"/>
        <w:ind w:firstLine="0" w:firstLineChars="0"/>
        <w:rPr>
          <w:rFonts w:eastAsia="宋体"/>
          <w:b/>
          <w:bCs/>
          <w:color w:val="auto"/>
          <w:kern w:val="2"/>
          <w:sz w:val="32"/>
          <w:szCs w:val="32"/>
          <w:highlight w:val="none"/>
        </w:rPr>
      </w:pPr>
    </w:p>
    <w:p>
      <w:pPr>
        <w:pStyle w:val="25"/>
        <w:ind w:firstLine="0" w:firstLineChars="0"/>
        <w:rPr>
          <w:rFonts w:eastAsia="宋体"/>
          <w:b/>
          <w:bCs/>
          <w:color w:val="auto"/>
          <w:kern w:val="2"/>
          <w:sz w:val="32"/>
          <w:szCs w:val="32"/>
          <w:highlight w:val="none"/>
        </w:rPr>
      </w:pPr>
    </w:p>
    <w:p>
      <w:pPr>
        <w:pStyle w:val="25"/>
        <w:ind w:firstLine="0" w:firstLineChars="0"/>
        <w:rPr>
          <w:rFonts w:eastAsia="宋体"/>
          <w:b/>
          <w:bCs/>
          <w:color w:val="auto"/>
          <w:kern w:val="2"/>
          <w:sz w:val="32"/>
          <w:szCs w:val="32"/>
          <w:highlight w:val="none"/>
        </w:rPr>
      </w:pPr>
    </w:p>
    <w:p>
      <w:pPr>
        <w:pStyle w:val="11"/>
        <w:spacing w:line="500" w:lineRule="exact"/>
        <w:ind w:leftChars="0" w:hanging="100" w:firstLineChars="0"/>
        <w:jc w:val="center"/>
        <w:outlineLvl w:val="1"/>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八、封面及封口格式</w:t>
      </w:r>
    </w:p>
    <w:p>
      <w:pPr>
        <w:pStyle w:val="11"/>
        <w:spacing w:line="500" w:lineRule="exact"/>
        <w:ind w:leftChars="0" w:hanging="100" w:firstLineChars="0"/>
        <w:jc w:val="center"/>
        <w:outlineLvl w:val="1"/>
        <w:rPr>
          <w:rFonts w:ascii="宋体" w:hAnsi="宋体" w:eastAsia="宋体" w:cs="宋体"/>
          <w:b/>
          <w:bCs/>
          <w:color w:val="auto"/>
          <w:sz w:val="32"/>
          <w:szCs w:val="32"/>
          <w:highlight w:val="none"/>
        </w:rPr>
      </w:pPr>
      <w:r>
        <w:rPr>
          <w:rFonts w:hint="eastAsia" w:ascii="宋体" w:hAnsi="宋体" w:eastAsia="宋体" w:cs="宋体"/>
          <w:b/>
          <w:bCs/>
          <w:color w:val="auto"/>
          <w:kern w:val="0"/>
          <w:sz w:val="32"/>
          <w:szCs w:val="32"/>
          <w:highlight w:val="none"/>
          <w:lang w:val="zh-CN"/>
        </w:rPr>
        <w:t>封面格式</w:t>
      </w:r>
    </w:p>
    <w:tbl>
      <w:tblPr>
        <w:tblStyle w:val="20"/>
        <w:tblW w:w="8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1"/>
        <w:gridCol w:w="4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3" w:hRule="atLeast"/>
          <w:jc w:val="center"/>
        </w:trPr>
        <w:tc>
          <w:tcPr>
            <w:tcW w:w="4461" w:type="dxa"/>
            <w:tcBorders>
              <w:top w:val="single" w:color="auto" w:sz="4" w:space="0"/>
              <w:left w:val="single" w:color="auto" w:sz="4" w:space="0"/>
              <w:bottom w:val="single" w:color="auto" w:sz="4" w:space="0"/>
              <w:right w:val="single" w:color="auto" w:sz="4" w:space="0"/>
            </w:tcBorders>
          </w:tcPr>
          <w:p>
            <w:pPr>
              <w:pStyle w:val="19"/>
              <w:spacing w:line="280" w:lineRule="exact"/>
              <w:rPr>
                <w:rFonts w:eastAsia="宋体" w:cs="宋体"/>
                <w:b/>
                <w:color w:val="auto"/>
                <w:sz w:val="30"/>
                <w:szCs w:val="20"/>
                <w:highlight w:val="none"/>
              </w:rPr>
            </w:pPr>
          </w:p>
          <w:p>
            <w:pPr>
              <w:pStyle w:val="19"/>
              <w:spacing w:line="280" w:lineRule="exact"/>
              <w:rPr>
                <w:rFonts w:eastAsia="宋体" w:cs="宋体"/>
                <w:b/>
                <w:color w:val="auto"/>
                <w:sz w:val="30"/>
                <w:szCs w:val="20"/>
                <w:highlight w:val="none"/>
              </w:rPr>
            </w:pPr>
            <w:r>
              <w:rPr>
                <w:rFonts w:hint="eastAsia" w:eastAsia="宋体" w:cs="宋体"/>
                <w:b/>
                <w:color w:val="auto"/>
                <w:sz w:val="30"/>
                <w:szCs w:val="20"/>
                <w:highlight w:val="none"/>
              </w:rPr>
              <w:t>响应文件</w:t>
            </w:r>
          </w:p>
          <w:p>
            <w:pPr>
              <w:pStyle w:val="19"/>
              <w:spacing w:line="280" w:lineRule="exact"/>
              <w:rPr>
                <w:rFonts w:eastAsia="宋体" w:cs="宋体"/>
                <w:color w:val="auto"/>
                <w:sz w:val="30"/>
                <w:szCs w:val="20"/>
                <w:highlight w:val="none"/>
              </w:rPr>
            </w:pPr>
            <w:r>
              <w:rPr>
                <w:rFonts w:hint="eastAsia" w:eastAsia="宋体" w:cs="宋体"/>
                <w:b/>
                <w:color w:val="auto"/>
                <w:sz w:val="30"/>
                <w:szCs w:val="20"/>
                <w:highlight w:val="none"/>
              </w:rPr>
              <w:t>（正本）</w:t>
            </w:r>
          </w:p>
          <w:p>
            <w:pPr>
              <w:pStyle w:val="19"/>
              <w:spacing w:line="280" w:lineRule="exact"/>
              <w:rPr>
                <w:rFonts w:eastAsia="宋体" w:cs="宋体"/>
                <w:color w:val="auto"/>
                <w:szCs w:val="20"/>
                <w:highlight w:val="none"/>
              </w:rPr>
            </w:pPr>
            <w:r>
              <w:rPr>
                <w:rFonts w:hint="eastAsia" w:eastAsia="宋体" w:cs="宋体"/>
                <w:color w:val="auto"/>
                <w:szCs w:val="20"/>
                <w:highlight w:val="none"/>
              </w:rPr>
              <w:t xml:space="preserve">项目编号： </w:t>
            </w:r>
          </w:p>
          <w:p>
            <w:pPr>
              <w:pStyle w:val="19"/>
              <w:spacing w:line="280" w:lineRule="exact"/>
              <w:rPr>
                <w:rFonts w:eastAsia="宋体" w:cs="宋体"/>
                <w:color w:val="auto"/>
                <w:szCs w:val="20"/>
                <w:highlight w:val="none"/>
              </w:rPr>
            </w:pPr>
            <w:r>
              <w:rPr>
                <w:rFonts w:hint="eastAsia" w:eastAsia="宋体" w:cs="宋体"/>
                <w:color w:val="auto"/>
                <w:szCs w:val="20"/>
                <w:highlight w:val="none"/>
              </w:rPr>
              <w:t>项目名称：</w:t>
            </w:r>
          </w:p>
          <w:p>
            <w:pPr>
              <w:pStyle w:val="19"/>
              <w:spacing w:line="280" w:lineRule="exact"/>
              <w:rPr>
                <w:rFonts w:eastAsia="宋体" w:cs="宋体"/>
                <w:color w:val="auto"/>
                <w:szCs w:val="20"/>
                <w:highlight w:val="none"/>
              </w:rPr>
            </w:pPr>
            <w:r>
              <w:rPr>
                <w:rFonts w:hint="eastAsia" w:eastAsia="宋体" w:cs="宋体"/>
                <w:color w:val="auto"/>
                <w:szCs w:val="20"/>
                <w:highlight w:val="none"/>
              </w:rPr>
              <w:t>包    号：</w:t>
            </w:r>
          </w:p>
          <w:p>
            <w:pPr>
              <w:pStyle w:val="19"/>
              <w:spacing w:line="280" w:lineRule="exact"/>
              <w:rPr>
                <w:rFonts w:eastAsia="宋体" w:cs="宋体"/>
                <w:color w:val="auto"/>
                <w:szCs w:val="20"/>
                <w:highlight w:val="none"/>
              </w:rPr>
            </w:pPr>
            <w:r>
              <w:rPr>
                <w:rFonts w:hint="eastAsia" w:eastAsia="宋体" w:cs="宋体"/>
                <w:color w:val="auto"/>
                <w:szCs w:val="20"/>
                <w:highlight w:val="none"/>
              </w:rPr>
              <w:t>供应商名称（公章）：</w:t>
            </w:r>
          </w:p>
          <w:p>
            <w:pPr>
              <w:pStyle w:val="19"/>
              <w:spacing w:line="280" w:lineRule="exact"/>
              <w:rPr>
                <w:rFonts w:eastAsia="宋体" w:cs="宋体"/>
                <w:color w:val="auto"/>
                <w:szCs w:val="20"/>
                <w:highlight w:val="none"/>
              </w:rPr>
            </w:pPr>
            <w:r>
              <w:rPr>
                <w:rFonts w:hint="eastAsia" w:eastAsia="宋体" w:cs="宋体"/>
                <w:color w:val="auto"/>
                <w:szCs w:val="20"/>
                <w:highlight w:val="none"/>
              </w:rPr>
              <w:t>地    址：</w:t>
            </w:r>
          </w:p>
          <w:p>
            <w:pPr>
              <w:pStyle w:val="19"/>
              <w:spacing w:line="280" w:lineRule="exact"/>
              <w:rPr>
                <w:rFonts w:eastAsia="宋体" w:cs="宋体"/>
                <w:color w:val="auto"/>
                <w:szCs w:val="20"/>
                <w:highlight w:val="none"/>
              </w:rPr>
            </w:pPr>
            <w:r>
              <w:rPr>
                <w:rFonts w:hint="eastAsia" w:eastAsia="宋体" w:cs="宋体"/>
                <w:color w:val="auto"/>
                <w:szCs w:val="20"/>
                <w:highlight w:val="none"/>
              </w:rPr>
              <w:t>电    话：</w:t>
            </w:r>
          </w:p>
          <w:p>
            <w:pPr>
              <w:pStyle w:val="19"/>
              <w:spacing w:line="280" w:lineRule="exact"/>
              <w:rPr>
                <w:rFonts w:eastAsia="宋体" w:cs="宋体"/>
                <w:color w:val="auto"/>
                <w:szCs w:val="20"/>
                <w:highlight w:val="none"/>
              </w:rPr>
            </w:pPr>
            <w:r>
              <w:rPr>
                <w:rFonts w:hint="eastAsia" w:eastAsia="宋体" w:cs="宋体"/>
                <w:color w:val="auto"/>
                <w:szCs w:val="20"/>
                <w:highlight w:val="none"/>
              </w:rPr>
              <w:t>传    真：</w:t>
            </w:r>
          </w:p>
        </w:tc>
        <w:tc>
          <w:tcPr>
            <w:tcW w:w="4459" w:type="dxa"/>
            <w:tcBorders>
              <w:top w:val="single" w:color="auto" w:sz="4" w:space="0"/>
              <w:left w:val="single" w:color="auto" w:sz="4" w:space="0"/>
              <w:bottom w:val="single" w:color="auto" w:sz="4" w:space="0"/>
              <w:right w:val="single" w:color="auto" w:sz="4" w:space="0"/>
            </w:tcBorders>
          </w:tcPr>
          <w:p>
            <w:pPr>
              <w:pStyle w:val="19"/>
              <w:spacing w:line="280" w:lineRule="exact"/>
              <w:rPr>
                <w:rFonts w:eastAsia="宋体" w:cs="宋体"/>
                <w:b/>
                <w:color w:val="auto"/>
                <w:sz w:val="30"/>
                <w:szCs w:val="20"/>
                <w:highlight w:val="none"/>
              </w:rPr>
            </w:pPr>
          </w:p>
          <w:p>
            <w:pPr>
              <w:pStyle w:val="19"/>
              <w:spacing w:line="280" w:lineRule="exact"/>
              <w:rPr>
                <w:rFonts w:eastAsia="宋体" w:cs="宋体"/>
                <w:b/>
                <w:color w:val="auto"/>
                <w:sz w:val="30"/>
                <w:szCs w:val="20"/>
                <w:highlight w:val="none"/>
              </w:rPr>
            </w:pPr>
            <w:r>
              <w:rPr>
                <w:rFonts w:hint="eastAsia" w:eastAsia="宋体" w:cs="宋体"/>
                <w:b/>
                <w:color w:val="auto"/>
                <w:sz w:val="30"/>
                <w:szCs w:val="20"/>
                <w:highlight w:val="none"/>
              </w:rPr>
              <w:t>响应文件</w:t>
            </w:r>
          </w:p>
          <w:p>
            <w:pPr>
              <w:pStyle w:val="19"/>
              <w:spacing w:line="280" w:lineRule="exact"/>
              <w:rPr>
                <w:rFonts w:eastAsia="宋体" w:cs="宋体"/>
                <w:b/>
                <w:color w:val="auto"/>
                <w:sz w:val="30"/>
                <w:szCs w:val="20"/>
                <w:highlight w:val="none"/>
              </w:rPr>
            </w:pPr>
            <w:r>
              <w:rPr>
                <w:rFonts w:hint="eastAsia" w:eastAsia="宋体" w:cs="宋体"/>
                <w:b/>
                <w:color w:val="auto"/>
                <w:sz w:val="30"/>
                <w:szCs w:val="20"/>
                <w:highlight w:val="none"/>
              </w:rPr>
              <w:t>（副本）</w:t>
            </w:r>
          </w:p>
          <w:p>
            <w:pPr>
              <w:pStyle w:val="19"/>
              <w:spacing w:line="280" w:lineRule="exact"/>
              <w:rPr>
                <w:rFonts w:eastAsia="宋体" w:cs="宋体"/>
                <w:color w:val="auto"/>
                <w:szCs w:val="20"/>
                <w:highlight w:val="none"/>
              </w:rPr>
            </w:pPr>
            <w:r>
              <w:rPr>
                <w:rFonts w:hint="eastAsia" w:eastAsia="宋体" w:cs="宋体"/>
                <w:color w:val="auto"/>
                <w:szCs w:val="20"/>
                <w:highlight w:val="none"/>
              </w:rPr>
              <w:t xml:space="preserve">项目编号：  </w:t>
            </w:r>
          </w:p>
          <w:p>
            <w:pPr>
              <w:pStyle w:val="19"/>
              <w:spacing w:line="280" w:lineRule="exact"/>
              <w:rPr>
                <w:rFonts w:eastAsia="宋体" w:cs="宋体"/>
                <w:color w:val="auto"/>
                <w:szCs w:val="20"/>
                <w:highlight w:val="none"/>
              </w:rPr>
            </w:pPr>
            <w:r>
              <w:rPr>
                <w:rFonts w:hint="eastAsia" w:eastAsia="宋体" w:cs="宋体"/>
                <w:color w:val="auto"/>
                <w:szCs w:val="20"/>
                <w:highlight w:val="none"/>
              </w:rPr>
              <w:t>项目名称：</w:t>
            </w:r>
          </w:p>
          <w:p>
            <w:pPr>
              <w:pStyle w:val="19"/>
              <w:spacing w:line="280" w:lineRule="exact"/>
              <w:rPr>
                <w:rFonts w:eastAsia="宋体" w:cs="宋体"/>
                <w:color w:val="auto"/>
                <w:szCs w:val="20"/>
                <w:highlight w:val="none"/>
              </w:rPr>
            </w:pPr>
            <w:r>
              <w:rPr>
                <w:rFonts w:hint="eastAsia" w:eastAsia="宋体" w:cs="宋体"/>
                <w:color w:val="auto"/>
                <w:szCs w:val="20"/>
                <w:highlight w:val="none"/>
              </w:rPr>
              <w:t>包    号：</w:t>
            </w:r>
          </w:p>
          <w:p>
            <w:pPr>
              <w:pStyle w:val="19"/>
              <w:spacing w:line="280" w:lineRule="exact"/>
              <w:rPr>
                <w:rFonts w:eastAsia="宋体" w:cs="宋体"/>
                <w:color w:val="auto"/>
                <w:szCs w:val="20"/>
                <w:highlight w:val="none"/>
              </w:rPr>
            </w:pPr>
            <w:r>
              <w:rPr>
                <w:rFonts w:hint="eastAsia" w:eastAsia="宋体" w:cs="宋体"/>
                <w:color w:val="auto"/>
                <w:szCs w:val="20"/>
                <w:highlight w:val="none"/>
              </w:rPr>
              <w:t>供应商名称（公章）：</w:t>
            </w:r>
          </w:p>
          <w:p>
            <w:pPr>
              <w:pStyle w:val="19"/>
              <w:spacing w:line="280" w:lineRule="exact"/>
              <w:rPr>
                <w:rFonts w:eastAsia="宋体" w:cs="宋体"/>
                <w:color w:val="auto"/>
                <w:szCs w:val="20"/>
                <w:highlight w:val="none"/>
              </w:rPr>
            </w:pPr>
            <w:r>
              <w:rPr>
                <w:rFonts w:hint="eastAsia" w:eastAsia="宋体" w:cs="宋体"/>
                <w:color w:val="auto"/>
                <w:szCs w:val="20"/>
                <w:highlight w:val="none"/>
              </w:rPr>
              <w:t>地    址：</w:t>
            </w:r>
          </w:p>
          <w:p>
            <w:pPr>
              <w:pStyle w:val="19"/>
              <w:spacing w:line="280" w:lineRule="exact"/>
              <w:rPr>
                <w:rFonts w:eastAsia="宋体" w:cs="宋体"/>
                <w:color w:val="auto"/>
                <w:szCs w:val="20"/>
                <w:highlight w:val="none"/>
              </w:rPr>
            </w:pPr>
            <w:r>
              <w:rPr>
                <w:rFonts w:hint="eastAsia" w:eastAsia="宋体" w:cs="宋体"/>
                <w:color w:val="auto"/>
                <w:szCs w:val="20"/>
                <w:highlight w:val="none"/>
              </w:rPr>
              <w:t>电    话：</w:t>
            </w:r>
          </w:p>
          <w:p>
            <w:pPr>
              <w:pStyle w:val="19"/>
              <w:spacing w:line="280" w:lineRule="exact"/>
              <w:rPr>
                <w:rFonts w:eastAsia="宋体" w:cs="宋体"/>
                <w:color w:val="auto"/>
                <w:sz w:val="32"/>
                <w:szCs w:val="20"/>
                <w:highlight w:val="none"/>
              </w:rPr>
            </w:pPr>
            <w:r>
              <w:rPr>
                <w:rFonts w:hint="eastAsia" w:eastAsia="宋体" w:cs="宋体"/>
                <w:color w:val="auto"/>
                <w:szCs w:val="20"/>
                <w:highlight w:val="none"/>
              </w:rPr>
              <w:t xml:space="preserve">传    真： </w:t>
            </w:r>
          </w:p>
        </w:tc>
      </w:tr>
    </w:tbl>
    <w:tbl>
      <w:tblPr>
        <w:tblStyle w:val="20"/>
        <w:tblpPr w:leftFromText="180" w:rightFromText="180" w:vertAnchor="text" w:horzAnchor="page" w:tblpX="1545" w:tblpY="248"/>
        <w:tblOverlap w:val="never"/>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7" w:hRule="atLeast"/>
        </w:trPr>
        <w:tc>
          <w:tcPr>
            <w:tcW w:w="9020" w:type="dxa"/>
          </w:tcPr>
          <w:p>
            <w:pPr>
              <w:pStyle w:val="19"/>
              <w:spacing w:line="360" w:lineRule="exact"/>
              <w:rPr>
                <w:rFonts w:eastAsia="宋体" w:cs="宋体"/>
                <w:color w:val="auto"/>
                <w:sz w:val="30"/>
                <w:szCs w:val="20"/>
                <w:highlight w:val="none"/>
              </w:rPr>
            </w:pPr>
            <w:r>
              <w:rPr>
                <w:rFonts w:hint="eastAsia" w:eastAsia="宋体" w:cs="宋体"/>
                <w:b/>
                <w:color w:val="auto"/>
                <w:sz w:val="30"/>
                <w:szCs w:val="20"/>
                <w:highlight w:val="none"/>
              </w:rPr>
              <w:t xml:space="preserve">证件资料及资质证明文件 </w:t>
            </w:r>
          </w:p>
          <w:p>
            <w:pPr>
              <w:pStyle w:val="19"/>
              <w:spacing w:line="360" w:lineRule="exact"/>
              <w:rPr>
                <w:rFonts w:eastAsia="宋体" w:cs="宋体"/>
                <w:color w:val="auto"/>
                <w:szCs w:val="20"/>
                <w:highlight w:val="none"/>
              </w:rPr>
            </w:pPr>
            <w:r>
              <w:rPr>
                <w:rFonts w:hint="eastAsia" w:eastAsia="宋体" w:cs="宋体"/>
                <w:color w:val="auto"/>
                <w:szCs w:val="20"/>
                <w:highlight w:val="none"/>
              </w:rPr>
              <w:t xml:space="preserve">项目编号： </w:t>
            </w:r>
          </w:p>
          <w:p>
            <w:pPr>
              <w:pStyle w:val="19"/>
              <w:spacing w:line="360" w:lineRule="exact"/>
              <w:rPr>
                <w:rFonts w:eastAsia="宋体" w:cs="宋体"/>
                <w:color w:val="auto"/>
                <w:szCs w:val="20"/>
                <w:highlight w:val="none"/>
              </w:rPr>
            </w:pPr>
            <w:r>
              <w:rPr>
                <w:rFonts w:hint="eastAsia" w:eastAsia="宋体" w:cs="宋体"/>
                <w:color w:val="auto"/>
                <w:szCs w:val="20"/>
                <w:highlight w:val="none"/>
              </w:rPr>
              <w:t>项目名称：</w:t>
            </w:r>
          </w:p>
          <w:p>
            <w:pPr>
              <w:pStyle w:val="19"/>
              <w:spacing w:line="280" w:lineRule="exact"/>
              <w:rPr>
                <w:rFonts w:eastAsia="宋体" w:cs="宋体"/>
                <w:color w:val="auto"/>
                <w:szCs w:val="20"/>
                <w:highlight w:val="none"/>
              </w:rPr>
            </w:pPr>
            <w:r>
              <w:rPr>
                <w:rFonts w:hint="eastAsia" w:eastAsia="宋体" w:cs="宋体"/>
                <w:color w:val="auto"/>
                <w:szCs w:val="20"/>
                <w:highlight w:val="none"/>
              </w:rPr>
              <w:t>包    号：</w:t>
            </w:r>
          </w:p>
          <w:p>
            <w:pPr>
              <w:pStyle w:val="19"/>
              <w:spacing w:line="360" w:lineRule="exact"/>
              <w:rPr>
                <w:rFonts w:eastAsia="宋体" w:cs="宋体"/>
                <w:color w:val="auto"/>
                <w:szCs w:val="20"/>
                <w:highlight w:val="none"/>
                <w:u w:val="single"/>
              </w:rPr>
            </w:pPr>
            <w:r>
              <w:rPr>
                <w:rFonts w:hint="eastAsia" w:eastAsia="宋体" w:cs="宋体"/>
                <w:color w:val="auto"/>
                <w:szCs w:val="20"/>
                <w:highlight w:val="none"/>
              </w:rPr>
              <w:t>供应商名称（公章）：</w:t>
            </w:r>
            <w:r>
              <w:rPr>
                <w:rFonts w:hint="eastAsia" w:eastAsia="宋体" w:cs="宋体"/>
                <w:color w:val="auto"/>
                <w:szCs w:val="20"/>
                <w:highlight w:val="none"/>
                <w:u w:val="single"/>
              </w:rPr>
              <w:t xml:space="preserve">                </w:t>
            </w:r>
          </w:p>
          <w:tbl>
            <w:tblPr>
              <w:tblStyle w:val="20"/>
              <w:tblW w:w="7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490"/>
              <w:gridCol w:w="1586"/>
              <w:gridCol w:w="1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386" w:type="dxa"/>
                  <w:tcBorders>
                    <w:top w:val="single" w:color="auto" w:sz="4" w:space="0"/>
                    <w:left w:val="single" w:color="auto" w:sz="4" w:space="0"/>
                    <w:bottom w:val="single" w:color="auto" w:sz="4" w:space="0"/>
                    <w:right w:val="single" w:color="auto" w:sz="4" w:space="0"/>
                  </w:tcBorders>
                </w:tcPr>
                <w:p>
                  <w:pPr>
                    <w:pStyle w:val="19"/>
                    <w:spacing w:line="360" w:lineRule="exact"/>
                    <w:rPr>
                      <w:rFonts w:eastAsia="宋体" w:cs="宋体"/>
                      <w:color w:val="auto"/>
                      <w:szCs w:val="20"/>
                      <w:highlight w:val="none"/>
                    </w:rPr>
                  </w:pPr>
                  <w:r>
                    <w:rPr>
                      <w:rFonts w:hint="eastAsia" w:eastAsia="宋体" w:cs="宋体"/>
                      <w:color w:val="auto"/>
                      <w:szCs w:val="20"/>
                      <w:highlight w:val="none"/>
                    </w:rPr>
                    <w:t>序号</w:t>
                  </w:r>
                </w:p>
              </w:tc>
              <w:tc>
                <w:tcPr>
                  <w:tcW w:w="3490" w:type="dxa"/>
                  <w:tcBorders>
                    <w:top w:val="single" w:color="auto" w:sz="4" w:space="0"/>
                    <w:left w:val="single" w:color="auto" w:sz="4" w:space="0"/>
                    <w:bottom w:val="single" w:color="auto" w:sz="4" w:space="0"/>
                    <w:right w:val="single" w:color="auto" w:sz="4" w:space="0"/>
                  </w:tcBorders>
                </w:tcPr>
                <w:p>
                  <w:pPr>
                    <w:pStyle w:val="19"/>
                    <w:spacing w:line="360" w:lineRule="exact"/>
                    <w:jc w:val="center"/>
                    <w:rPr>
                      <w:rFonts w:eastAsia="宋体" w:cs="宋体"/>
                      <w:color w:val="auto"/>
                      <w:szCs w:val="20"/>
                      <w:highlight w:val="none"/>
                    </w:rPr>
                  </w:pPr>
                  <w:r>
                    <w:rPr>
                      <w:rFonts w:hint="eastAsia" w:eastAsia="宋体" w:cs="宋体"/>
                      <w:color w:val="auto"/>
                      <w:szCs w:val="20"/>
                      <w:highlight w:val="none"/>
                    </w:rPr>
                    <w:t>证件名称</w:t>
                  </w:r>
                </w:p>
              </w:tc>
              <w:tc>
                <w:tcPr>
                  <w:tcW w:w="1586" w:type="dxa"/>
                  <w:tcBorders>
                    <w:top w:val="single" w:color="auto" w:sz="4" w:space="0"/>
                    <w:left w:val="single" w:color="auto" w:sz="4" w:space="0"/>
                    <w:bottom w:val="single" w:color="auto" w:sz="4" w:space="0"/>
                    <w:right w:val="single" w:color="auto" w:sz="4" w:space="0"/>
                  </w:tcBorders>
                </w:tcPr>
                <w:p>
                  <w:pPr>
                    <w:pStyle w:val="19"/>
                    <w:spacing w:line="360" w:lineRule="exact"/>
                    <w:rPr>
                      <w:rFonts w:eastAsia="宋体" w:cs="宋体"/>
                      <w:color w:val="auto"/>
                      <w:szCs w:val="20"/>
                      <w:highlight w:val="none"/>
                    </w:rPr>
                  </w:pPr>
                  <w:r>
                    <w:rPr>
                      <w:rFonts w:hint="eastAsia" w:eastAsia="宋体" w:cs="宋体"/>
                      <w:color w:val="auto"/>
                      <w:szCs w:val="20"/>
                      <w:highlight w:val="none"/>
                    </w:rPr>
                    <w:t>数量</w:t>
                  </w:r>
                </w:p>
              </w:tc>
              <w:tc>
                <w:tcPr>
                  <w:tcW w:w="1529" w:type="dxa"/>
                  <w:tcBorders>
                    <w:top w:val="single" w:color="auto" w:sz="4" w:space="0"/>
                    <w:left w:val="single" w:color="auto" w:sz="4" w:space="0"/>
                    <w:bottom w:val="single" w:color="auto" w:sz="4" w:space="0"/>
                    <w:right w:val="single" w:color="auto" w:sz="4" w:space="0"/>
                  </w:tcBorders>
                </w:tcPr>
                <w:p>
                  <w:pPr>
                    <w:pStyle w:val="19"/>
                    <w:spacing w:line="360" w:lineRule="exact"/>
                    <w:rPr>
                      <w:rFonts w:eastAsia="宋体" w:cs="宋体"/>
                      <w:color w:val="auto"/>
                      <w:szCs w:val="20"/>
                      <w:highlight w:val="none"/>
                    </w:rPr>
                  </w:pPr>
                  <w:r>
                    <w:rPr>
                      <w:rFonts w:hint="eastAsia" w:eastAsia="宋体" w:cs="宋体"/>
                      <w:color w:val="auto"/>
                      <w:szCs w:val="2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386" w:type="dxa"/>
                  <w:tcBorders>
                    <w:top w:val="single" w:color="auto" w:sz="4" w:space="0"/>
                    <w:left w:val="single" w:color="auto" w:sz="4" w:space="0"/>
                    <w:bottom w:val="single" w:color="auto" w:sz="4" w:space="0"/>
                    <w:right w:val="single" w:color="auto" w:sz="4" w:space="0"/>
                  </w:tcBorders>
                </w:tcPr>
                <w:p>
                  <w:pPr>
                    <w:pStyle w:val="19"/>
                    <w:spacing w:line="360" w:lineRule="exact"/>
                    <w:rPr>
                      <w:rFonts w:eastAsia="宋体" w:cs="宋体"/>
                      <w:color w:val="auto"/>
                      <w:szCs w:val="20"/>
                      <w:highlight w:val="none"/>
                    </w:rPr>
                  </w:pPr>
                  <w:r>
                    <w:rPr>
                      <w:rFonts w:hint="eastAsia" w:eastAsia="宋体" w:cs="宋体"/>
                      <w:color w:val="auto"/>
                      <w:szCs w:val="20"/>
                      <w:highlight w:val="none"/>
                    </w:rPr>
                    <w:t>1</w:t>
                  </w:r>
                </w:p>
              </w:tc>
              <w:tc>
                <w:tcPr>
                  <w:tcW w:w="3490" w:type="dxa"/>
                  <w:tcBorders>
                    <w:top w:val="single" w:color="auto" w:sz="4" w:space="0"/>
                    <w:left w:val="single" w:color="auto" w:sz="4" w:space="0"/>
                    <w:bottom w:val="single" w:color="auto" w:sz="4" w:space="0"/>
                    <w:right w:val="single" w:color="auto" w:sz="4" w:space="0"/>
                  </w:tcBorders>
                </w:tcPr>
                <w:p>
                  <w:pPr>
                    <w:pStyle w:val="19"/>
                    <w:spacing w:line="360" w:lineRule="exact"/>
                    <w:rPr>
                      <w:rFonts w:eastAsia="宋体" w:cs="宋体"/>
                      <w:color w:val="auto"/>
                      <w:szCs w:val="20"/>
                      <w:highlight w:val="none"/>
                    </w:rPr>
                  </w:pPr>
                </w:p>
              </w:tc>
              <w:tc>
                <w:tcPr>
                  <w:tcW w:w="1586" w:type="dxa"/>
                  <w:tcBorders>
                    <w:top w:val="single" w:color="auto" w:sz="4" w:space="0"/>
                    <w:left w:val="single" w:color="auto" w:sz="4" w:space="0"/>
                    <w:bottom w:val="single" w:color="auto" w:sz="4" w:space="0"/>
                    <w:right w:val="single" w:color="auto" w:sz="4" w:space="0"/>
                  </w:tcBorders>
                </w:tcPr>
                <w:p>
                  <w:pPr>
                    <w:pStyle w:val="19"/>
                    <w:spacing w:line="360" w:lineRule="exact"/>
                    <w:rPr>
                      <w:rFonts w:eastAsia="宋体" w:cs="宋体"/>
                      <w:color w:val="auto"/>
                      <w:szCs w:val="20"/>
                      <w:highlight w:val="none"/>
                    </w:rPr>
                  </w:pPr>
                </w:p>
              </w:tc>
              <w:tc>
                <w:tcPr>
                  <w:tcW w:w="1529" w:type="dxa"/>
                  <w:tcBorders>
                    <w:top w:val="single" w:color="auto" w:sz="4" w:space="0"/>
                    <w:left w:val="single" w:color="auto" w:sz="4" w:space="0"/>
                    <w:bottom w:val="single" w:color="auto" w:sz="4" w:space="0"/>
                    <w:right w:val="single" w:color="auto" w:sz="4" w:space="0"/>
                  </w:tcBorders>
                </w:tcPr>
                <w:p>
                  <w:pPr>
                    <w:pStyle w:val="19"/>
                    <w:spacing w:line="360" w:lineRule="exact"/>
                    <w:rPr>
                      <w:rFonts w:eastAsia="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386" w:type="dxa"/>
                  <w:tcBorders>
                    <w:top w:val="single" w:color="auto" w:sz="4" w:space="0"/>
                    <w:left w:val="single" w:color="auto" w:sz="4" w:space="0"/>
                    <w:bottom w:val="single" w:color="auto" w:sz="4" w:space="0"/>
                    <w:right w:val="single" w:color="auto" w:sz="4" w:space="0"/>
                  </w:tcBorders>
                </w:tcPr>
                <w:p>
                  <w:pPr>
                    <w:pStyle w:val="19"/>
                    <w:spacing w:line="360" w:lineRule="exact"/>
                    <w:rPr>
                      <w:rFonts w:eastAsia="宋体" w:cs="宋体"/>
                      <w:color w:val="auto"/>
                      <w:szCs w:val="20"/>
                      <w:highlight w:val="none"/>
                    </w:rPr>
                  </w:pPr>
                  <w:r>
                    <w:rPr>
                      <w:rFonts w:hint="eastAsia" w:eastAsia="宋体" w:cs="宋体"/>
                      <w:color w:val="auto"/>
                      <w:szCs w:val="20"/>
                      <w:highlight w:val="none"/>
                    </w:rPr>
                    <w:t>2</w:t>
                  </w:r>
                </w:p>
              </w:tc>
              <w:tc>
                <w:tcPr>
                  <w:tcW w:w="3490" w:type="dxa"/>
                  <w:tcBorders>
                    <w:top w:val="single" w:color="auto" w:sz="4" w:space="0"/>
                    <w:left w:val="single" w:color="auto" w:sz="4" w:space="0"/>
                    <w:bottom w:val="single" w:color="auto" w:sz="4" w:space="0"/>
                    <w:right w:val="single" w:color="auto" w:sz="4" w:space="0"/>
                  </w:tcBorders>
                </w:tcPr>
                <w:p>
                  <w:pPr>
                    <w:pStyle w:val="19"/>
                    <w:spacing w:line="360" w:lineRule="exact"/>
                    <w:rPr>
                      <w:rFonts w:eastAsia="宋体" w:cs="宋体"/>
                      <w:color w:val="auto"/>
                      <w:szCs w:val="20"/>
                      <w:highlight w:val="none"/>
                    </w:rPr>
                  </w:pPr>
                </w:p>
              </w:tc>
              <w:tc>
                <w:tcPr>
                  <w:tcW w:w="1586" w:type="dxa"/>
                  <w:tcBorders>
                    <w:top w:val="single" w:color="auto" w:sz="4" w:space="0"/>
                    <w:left w:val="single" w:color="auto" w:sz="4" w:space="0"/>
                    <w:bottom w:val="single" w:color="auto" w:sz="4" w:space="0"/>
                    <w:right w:val="single" w:color="auto" w:sz="4" w:space="0"/>
                  </w:tcBorders>
                </w:tcPr>
                <w:p>
                  <w:pPr>
                    <w:pStyle w:val="19"/>
                    <w:spacing w:line="360" w:lineRule="exact"/>
                    <w:rPr>
                      <w:rFonts w:eastAsia="宋体" w:cs="宋体"/>
                      <w:color w:val="auto"/>
                      <w:szCs w:val="20"/>
                      <w:highlight w:val="none"/>
                    </w:rPr>
                  </w:pPr>
                </w:p>
              </w:tc>
              <w:tc>
                <w:tcPr>
                  <w:tcW w:w="1529" w:type="dxa"/>
                  <w:tcBorders>
                    <w:top w:val="single" w:color="auto" w:sz="4" w:space="0"/>
                    <w:left w:val="single" w:color="auto" w:sz="4" w:space="0"/>
                    <w:bottom w:val="single" w:color="auto" w:sz="4" w:space="0"/>
                    <w:right w:val="single" w:color="auto" w:sz="4" w:space="0"/>
                  </w:tcBorders>
                </w:tcPr>
                <w:p>
                  <w:pPr>
                    <w:pStyle w:val="19"/>
                    <w:spacing w:line="360" w:lineRule="exact"/>
                    <w:rPr>
                      <w:rFonts w:eastAsia="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386" w:type="dxa"/>
                  <w:tcBorders>
                    <w:top w:val="single" w:color="auto" w:sz="4" w:space="0"/>
                    <w:left w:val="single" w:color="auto" w:sz="4" w:space="0"/>
                    <w:bottom w:val="single" w:color="auto" w:sz="4" w:space="0"/>
                    <w:right w:val="single" w:color="auto" w:sz="4" w:space="0"/>
                  </w:tcBorders>
                </w:tcPr>
                <w:p>
                  <w:pPr>
                    <w:pStyle w:val="19"/>
                    <w:spacing w:line="360" w:lineRule="exact"/>
                    <w:rPr>
                      <w:rFonts w:eastAsia="宋体" w:cs="宋体"/>
                      <w:color w:val="auto"/>
                      <w:szCs w:val="20"/>
                      <w:highlight w:val="none"/>
                    </w:rPr>
                  </w:pPr>
                  <w:r>
                    <w:rPr>
                      <w:rFonts w:hint="eastAsia" w:eastAsia="宋体" w:cs="宋体"/>
                      <w:color w:val="auto"/>
                      <w:szCs w:val="20"/>
                      <w:highlight w:val="none"/>
                    </w:rPr>
                    <w:t>…</w:t>
                  </w:r>
                </w:p>
              </w:tc>
              <w:tc>
                <w:tcPr>
                  <w:tcW w:w="3490" w:type="dxa"/>
                  <w:tcBorders>
                    <w:top w:val="single" w:color="auto" w:sz="4" w:space="0"/>
                    <w:left w:val="single" w:color="auto" w:sz="4" w:space="0"/>
                    <w:bottom w:val="single" w:color="auto" w:sz="4" w:space="0"/>
                    <w:right w:val="single" w:color="auto" w:sz="4" w:space="0"/>
                  </w:tcBorders>
                </w:tcPr>
                <w:p>
                  <w:pPr>
                    <w:pStyle w:val="19"/>
                    <w:spacing w:line="360" w:lineRule="exact"/>
                    <w:rPr>
                      <w:rFonts w:eastAsia="宋体" w:cs="宋体"/>
                      <w:color w:val="auto"/>
                      <w:szCs w:val="20"/>
                      <w:highlight w:val="none"/>
                    </w:rPr>
                  </w:pPr>
                </w:p>
              </w:tc>
              <w:tc>
                <w:tcPr>
                  <w:tcW w:w="1586" w:type="dxa"/>
                  <w:tcBorders>
                    <w:top w:val="single" w:color="auto" w:sz="4" w:space="0"/>
                    <w:left w:val="single" w:color="auto" w:sz="4" w:space="0"/>
                    <w:bottom w:val="single" w:color="auto" w:sz="4" w:space="0"/>
                    <w:right w:val="single" w:color="auto" w:sz="4" w:space="0"/>
                  </w:tcBorders>
                </w:tcPr>
                <w:p>
                  <w:pPr>
                    <w:pStyle w:val="19"/>
                    <w:spacing w:line="360" w:lineRule="exact"/>
                    <w:rPr>
                      <w:rFonts w:eastAsia="宋体" w:cs="宋体"/>
                      <w:color w:val="auto"/>
                      <w:szCs w:val="20"/>
                      <w:highlight w:val="none"/>
                    </w:rPr>
                  </w:pPr>
                </w:p>
              </w:tc>
              <w:tc>
                <w:tcPr>
                  <w:tcW w:w="1529" w:type="dxa"/>
                  <w:tcBorders>
                    <w:top w:val="single" w:color="auto" w:sz="4" w:space="0"/>
                    <w:left w:val="single" w:color="auto" w:sz="4" w:space="0"/>
                    <w:bottom w:val="single" w:color="auto" w:sz="4" w:space="0"/>
                    <w:right w:val="single" w:color="auto" w:sz="4" w:space="0"/>
                  </w:tcBorders>
                </w:tcPr>
                <w:p>
                  <w:pPr>
                    <w:pStyle w:val="19"/>
                    <w:spacing w:line="360" w:lineRule="exact"/>
                    <w:rPr>
                      <w:rFonts w:eastAsia="宋体" w:cs="宋体"/>
                      <w:color w:val="auto"/>
                      <w:szCs w:val="20"/>
                      <w:highlight w:val="none"/>
                    </w:rPr>
                  </w:pPr>
                </w:p>
              </w:tc>
            </w:tr>
          </w:tbl>
          <w:p>
            <w:pPr>
              <w:pStyle w:val="19"/>
              <w:spacing w:line="360" w:lineRule="exact"/>
              <w:rPr>
                <w:rFonts w:eastAsia="宋体" w:cs="宋体"/>
                <w:color w:val="auto"/>
                <w:szCs w:val="20"/>
                <w:highlight w:val="none"/>
              </w:rPr>
            </w:pPr>
          </w:p>
        </w:tc>
      </w:tr>
    </w:tbl>
    <w:p>
      <w:pPr>
        <w:pStyle w:val="19"/>
        <w:spacing w:before="0" w:beforeAutospacing="0" w:after="0" w:afterAutospacing="0"/>
        <w:ind w:firstLine="630" w:firstLineChars="196"/>
        <w:jc w:val="center"/>
        <w:rPr>
          <w:rFonts w:eastAsia="宋体" w:cs="宋体"/>
          <w:b/>
          <w:color w:val="auto"/>
          <w:sz w:val="32"/>
          <w:szCs w:val="20"/>
          <w:highlight w:val="none"/>
        </w:rPr>
      </w:pPr>
      <w:r>
        <w:rPr>
          <w:rFonts w:hint="eastAsia" w:eastAsia="宋体" w:cs="宋体"/>
          <w:b/>
          <w:color w:val="auto"/>
          <w:sz w:val="32"/>
          <w:szCs w:val="20"/>
          <w:highlight w:val="none"/>
        </w:rPr>
        <w:t>封口格式：</w:t>
      </w:r>
    </w:p>
    <w:tbl>
      <w:tblPr>
        <w:tblStyle w:val="20"/>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9080" w:type="dxa"/>
            <w:tcBorders>
              <w:top w:val="single" w:color="auto" w:sz="4" w:space="0"/>
              <w:left w:val="single" w:color="auto" w:sz="4" w:space="0"/>
              <w:bottom w:val="single" w:color="auto" w:sz="4" w:space="0"/>
              <w:right w:val="single" w:color="auto" w:sz="4" w:space="0"/>
            </w:tcBorders>
            <w:vAlign w:val="center"/>
          </w:tcPr>
          <w:p>
            <w:pPr>
              <w:pStyle w:val="19"/>
              <w:tabs>
                <w:tab w:val="left" w:pos="0"/>
              </w:tabs>
              <w:ind w:left="-260" w:leftChars="-124" w:firstLine="259" w:firstLineChars="108"/>
              <w:rPr>
                <w:rFonts w:eastAsia="宋体" w:cs="宋体"/>
                <w:color w:val="auto"/>
                <w:szCs w:val="20"/>
                <w:highlight w:val="none"/>
              </w:rPr>
            </w:pPr>
            <w:r>
              <w:rPr>
                <w:rFonts w:hint="eastAsia" w:eastAsia="宋体" w:cs="宋体"/>
                <w:color w:val="auto"/>
                <w:szCs w:val="20"/>
                <w:highlight w:val="none"/>
              </w:rPr>
              <w:t>………………于</w:t>
            </w:r>
            <w:r>
              <w:rPr>
                <w:rFonts w:hint="eastAsia" w:eastAsia="宋体" w:cs="宋体"/>
                <w:color w:val="auto"/>
                <w:highlight w:val="none"/>
              </w:rPr>
              <w:t>2019年     月     日</w:t>
            </w:r>
            <w:r>
              <w:rPr>
                <w:rFonts w:hint="eastAsia" w:eastAsia="宋体" w:cs="宋体"/>
                <w:color w:val="auto"/>
                <w:szCs w:val="20"/>
                <w:highlight w:val="none"/>
              </w:rPr>
              <w:t>之前不准启封（公章）…………………</w:t>
            </w:r>
          </w:p>
        </w:tc>
      </w:tr>
    </w:tbl>
    <w:p>
      <w:pPr>
        <w:pStyle w:val="3"/>
        <w:rPr>
          <w:rFonts w:ascii="宋体" w:hAnsi="宋体" w:eastAsia="宋体" w:cs="宋体"/>
          <w:bCs w:val="0"/>
          <w:color w:val="auto"/>
          <w:highlight w:val="none"/>
        </w:rPr>
      </w:pPr>
      <w:r>
        <w:rPr>
          <w:rFonts w:hint="eastAsia" w:ascii="宋体" w:hAnsi="宋体" w:eastAsia="宋体" w:cs="宋体"/>
          <w:bCs w:val="0"/>
          <w:color w:val="auto"/>
          <w:highlight w:val="none"/>
        </w:rPr>
        <w:t>第六章  评分标准</w:t>
      </w:r>
      <w:bookmarkEnd w:id="92"/>
      <w:bookmarkEnd w:id="93"/>
      <w:bookmarkEnd w:id="94"/>
      <w:bookmarkEnd w:id="95"/>
    </w:p>
    <w:p>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第一阶段：初审</w:t>
      </w:r>
    </w:p>
    <w:p>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1、响应文件的符合性评审：</w:t>
      </w:r>
    </w:p>
    <w:p>
      <w:pPr>
        <w:pStyle w:val="32"/>
        <w:widowControl/>
        <w:spacing w:line="400" w:lineRule="exact"/>
        <w:ind w:firstLine="480"/>
        <w:jc w:val="both"/>
        <w:rPr>
          <w:rFonts w:hint="default" w:hAnsi="宋体" w:cs="宋体"/>
          <w:color w:val="auto"/>
          <w:sz w:val="24"/>
          <w:szCs w:val="24"/>
          <w:highlight w:val="none"/>
        </w:rPr>
      </w:pPr>
      <w:r>
        <w:rPr>
          <w:rFonts w:hAnsi="宋体" w:cs="宋体"/>
          <w:color w:val="auto"/>
          <w:sz w:val="24"/>
          <w:szCs w:val="24"/>
          <w:highlight w:val="none"/>
        </w:rPr>
        <w:t>响应文件应实质性响应采购文件的所有条款、条件，所谓实质上响应是指响应文件应与采购标文件的所有实质性条款、条件和规定相符，无显著差异或保留。能实质性响应采购文件的响应文件进入下一阶段评审。</w:t>
      </w:r>
    </w:p>
    <w:p>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2、技术标评审：</w:t>
      </w:r>
    </w:p>
    <w:p>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按附表所述的评审细则，对各供应商的响应文件进行综合评审。</w:t>
      </w:r>
    </w:p>
    <w:p>
      <w:pPr>
        <w:tabs>
          <w:tab w:val="left" w:pos="6500"/>
        </w:tabs>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3、商务标评审：</w:t>
      </w:r>
    </w:p>
    <w:p>
      <w:pPr>
        <w:pStyle w:val="32"/>
        <w:widowControl/>
        <w:spacing w:line="400" w:lineRule="exact"/>
        <w:ind w:firstLine="480"/>
        <w:jc w:val="both"/>
        <w:rPr>
          <w:rFonts w:hint="default" w:hAnsi="宋体" w:cs="宋体"/>
          <w:color w:val="auto"/>
          <w:sz w:val="24"/>
          <w:szCs w:val="24"/>
          <w:highlight w:val="none"/>
        </w:rPr>
      </w:pPr>
      <w:r>
        <w:rPr>
          <w:rFonts w:hAnsi="宋体" w:cs="宋体"/>
          <w:color w:val="auto"/>
          <w:sz w:val="24"/>
          <w:szCs w:val="24"/>
          <w:highlight w:val="none"/>
        </w:rPr>
        <w:t>商务标评审包括磋商报价校核，审查全部报价数据的正确性，分析磋商报价构成的合理性，经磋商小组论证为有效最终报价的商务标进入终审。</w:t>
      </w:r>
    </w:p>
    <w:p>
      <w:pPr>
        <w:pStyle w:val="32"/>
        <w:widowControl/>
        <w:spacing w:line="400" w:lineRule="exact"/>
        <w:ind w:firstLine="480"/>
        <w:jc w:val="both"/>
        <w:rPr>
          <w:rFonts w:hint="default" w:hAnsi="宋体" w:cs="宋体"/>
          <w:color w:val="auto"/>
          <w:sz w:val="24"/>
          <w:szCs w:val="24"/>
          <w:highlight w:val="none"/>
        </w:rPr>
      </w:pPr>
      <w:r>
        <w:rPr>
          <w:rFonts w:hAnsi="宋体" w:cs="宋体"/>
          <w:color w:val="auto"/>
          <w:sz w:val="24"/>
          <w:szCs w:val="24"/>
          <w:highlight w:val="none"/>
        </w:rPr>
        <w:t>第二阶段：终审</w:t>
      </w:r>
    </w:p>
    <w:p>
      <w:pPr>
        <w:spacing w:line="400" w:lineRule="exact"/>
        <w:rPr>
          <w:rFonts w:ascii="宋体" w:hAnsi="宋体" w:eastAsia="宋体" w:cs="宋体"/>
          <w:color w:val="auto"/>
          <w:sz w:val="24"/>
          <w:highlight w:val="none"/>
        </w:rPr>
      </w:pPr>
      <w:r>
        <w:rPr>
          <w:rFonts w:hint="eastAsia" w:ascii="宋体" w:hAnsi="宋体" w:eastAsia="宋体" w:cs="宋体"/>
          <w:color w:val="auto"/>
          <w:sz w:val="24"/>
          <w:highlight w:val="none"/>
        </w:rPr>
        <w:t>通过初审后的各供应商，由磋商小组根据商务标评审细则进行审核，磋商小组与合格供应商进行技术及商务磋商，并将技术标的审核情况与商务标的审核情况进行汇总。采购人根据磋商小组提出的书面评标报告和推荐的成交候选人确定成交供应商。</w:t>
      </w:r>
    </w:p>
    <w:p>
      <w:pPr>
        <w:spacing w:line="400" w:lineRule="exact"/>
        <w:rPr>
          <w:rFonts w:ascii="宋体" w:hAnsi="宋体" w:eastAsia="宋体" w:cs="宋体"/>
          <w:color w:val="auto"/>
          <w:sz w:val="24"/>
          <w:highlight w:val="none"/>
        </w:rPr>
      </w:pPr>
    </w:p>
    <w:p>
      <w:pPr>
        <w:spacing w:line="400" w:lineRule="exact"/>
        <w:rPr>
          <w:rFonts w:ascii="宋体" w:hAnsi="宋体" w:eastAsia="宋体" w:cs="宋体"/>
          <w:color w:val="auto"/>
          <w:sz w:val="24"/>
          <w:highlight w:val="none"/>
        </w:rPr>
      </w:pPr>
    </w:p>
    <w:p>
      <w:pPr>
        <w:spacing w:line="400" w:lineRule="exact"/>
        <w:rPr>
          <w:rFonts w:ascii="宋体" w:hAnsi="宋体" w:eastAsia="宋体" w:cs="宋体"/>
          <w:color w:val="auto"/>
          <w:sz w:val="24"/>
          <w:highlight w:val="none"/>
        </w:rPr>
      </w:pPr>
    </w:p>
    <w:p>
      <w:pPr>
        <w:spacing w:line="400" w:lineRule="exact"/>
        <w:rPr>
          <w:rFonts w:ascii="宋体" w:hAnsi="宋体" w:eastAsia="宋体" w:cs="宋体"/>
          <w:color w:val="auto"/>
          <w:sz w:val="24"/>
          <w:highlight w:val="none"/>
        </w:rPr>
      </w:pPr>
    </w:p>
    <w:p>
      <w:pPr>
        <w:spacing w:line="400" w:lineRule="exact"/>
        <w:rPr>
          <w:rFonts w:ascii="宋体" w:hAnsi="宋体" w:eastAsia="宋体" w:cs="宋体"/>
          <w:color w:val="auto"/>
          <w:sz w:val="24"/>
          <w:highlight w:val="none"/>
        </w:rPr>
      </w:pPr>
    </w:p>
    <w:p>
      <w:pPr>
        <w:spacing w:line="400" w:lineRule="exact"/>
        <w:rPr>
          <w:rFonts w:ascii="宋体" w:hAnsi="宋体" w:eastAsia="宋体" w:cs="宋体"/>
          <w:color w:val="auto"/>
          <w:sz w:val="24"/>
          <w:highlight w:val="none"/>
        </w:rPr>
      </w:pPr>
    </w:p>
    <w:p>
      <w:pPr>
        <w:spacing w:line="400" w:lineRule="exact"/>
        <w:rPr>
          <w:rFonts w:ascii="宋体" w:hAnsi="宋体" w:eastAsia="宋体" w:cs="宋体"/>
          <w:color w:val="auto"/>
          <w:sz w:val="24"/>
          <w:highlight w:val="none"/>
        </w:rPr>
      </w:pPr>
    </w:p>
    <w:p>
      <w:pPr>
        <w:spacing w:line="400" w:lineRule="exact"/>
        <w:rPr>
          <w:rFonts w:ascii="宋体" w:hAnsi="宋体" w:eastAsia="宋体" w:cs="宋体"/>
          <w:color w:val="auto"/>
          <w:sz w:val="24"/>
          <w:highlight w:val="none"/>
        </w:rPr>
      </w:pPr>
    </w:p>
    <w:p>
      <w:pPr>
        <w:spacing w:line="400" w:lineRule="exact"/>
        <w:rPr>
          <w:rFonts w:ascii="宋体" w:hAnsi="宋体" w:eastAsia="宋体" w:cs="宋体"/>
          <w:color w:val="auto"/>
          <w:sz w:val="24"/>
          <w:highlight w:val="none"/>
        </w:rPr>
      </w:pPr>
    </w:p>
    <w:p>
      <w:pPr>
        <w:spacing w:line="400" w:lineRule="exact"/>
        <w:rPr>
          <w:rFonts w:ascii="宋体" w:hAnsi="宋体" w:eastAsia="宋体" w:cs="宋体"/>
          <w:color w:val="auto"/>
          <w:sz w:val="24"/>
          <w:highlight w:val="none"/>
        </w:rPr>
      </w:pPr>
    </w:p>
    <w:p>
      <w:pPr>
        <w:spacing w:line="400" w:lineRule="exact"/>
        <w:rPr>
          <w:rFonts w:ascii="宋体" w:hAnsi="宋体" w:eastAsia="宋体" w:cs="宋体"/>
          <w:color w:val="auto"/>
          <w:sz w:val="24"/>
          <w:highlight w:val="none"/>
        </w:rPr>
      </w:pPr>
    </w:p>
    <w:p>
      <w:pPr>
        <w:spacing w:line="400" w:lineRule="exact"/>
        <w:rPr>
          <w:rFonts w:ascii="宋体" w:hAnsi="宋体" w:eastAsia="宋体" w:cs="宋体"/>
          <w:color w:val="auto"/>
          <w:sz w:val="24"/>
          <w:highlight w:val="none"/>
        </w:rPr>
      </w:pPr>
    </w:p>
    <w:p>
      <w:pPr>
        <w:spacing w:line="400" w:lineRule="exact"/>
        <w:rPr>
          <w:rFonts w:ascii="宋体" w:hAnsi="宋体" w:eastAsia="宋体" w:cs="宋体"/>
          <w:color w:val="auto"/>
          <w:sz w:val="24"/>
          <w:highlight w:val="none"/>
        </w:rPr>
      </w:pPr>
    </w:p>
    <w:p>
      <w:pPr>
        <w:spacing w:line="400" w:lineRule="exact"/>
        <w:rPr>
          <w:rFonts w:ascii="宋体" w:hAnsi="宋体" w:eastAsia="宋体" w:cs="宋体"/>
          <w:color w:val="auto"/>
          <w:sz w:val="24"/>
          <w:highlight w:val="none"/>
        </w:rPr>
      </w:pPr>
    </w:p>
    <w:p>
      <w:pPr>
        <w:spacing w:line="400" w:lineRule="exact"/>
        <w:rPr>
          <w:rFonts w:ascii="宋体" w:hAnsi="宋体" w:eastAsia="宋体" w:cs="宋体"/>
          <w:color w:val="auto"/>
          <w:sz w:val="24"/>
          <w:highlight w:val="none"/>
        </w:rPr>
      </w:pPr>
    </w:p>
    <w:p>
      <w:pPr>
        <w:spacing w:line="400" w:lineRule="exact"/>
        <w:rPr>
          <w:rFonts w:ascii="宋体" w:hAnsi="宋体" w:eastAsia="宋体" w:cs="宋体"/>
          <w:color w:val="auto"/>
          <w:sz w:val="24"/>
          <w:highlight w:val="none"/>
        </w:rPr>
      </w:pPr>
    </w:p>
    <w:p>
      <w:pPr>
        <w:spacing w:line="400" w:lineRule="exact"/>
        <w:rPr>
          <w:rFonts w:ascii="宋体" w:hAnsi="宋体" w:eastAsia="宋体" w:cs="宋体"/>
          <w:color w:val="auto"/>
          <w:sz w:val="24"/>
          <w:highlight w:val="none"/>
        </w:rPr>
      </w:pPr>
    </w:p>
    <w:p>
      <w:pPr>
        <w:spacing w:line="400" w:lineRule="exact"/>
        <w:rPr>
          <w:rFonts w:ascii="宋体" w:hAnsi="宋体" w:eastAsia="宋体" w:cs="宋体"/>
          <w:color w:val="auto"/>
          <w:sz w:val="24"/>
          <w:highlight w:val="none"/>
        </w:rPr>
      </w:pPr>
    </w:p>
    <w:p>
      <w:pPr>
        <w:spacing w:line="400" w:lineRule="exact"/>
        <w:rPr>
          <w:rFonts w:ascii="宋体" w:hAnsi="宋体" w:eastAsia="宋体" w:cs="宋体"/>
          <w:color w:val="auto"/>
          <w:sz w:val="24"/>
          <w:highlight w:val="none"/>
        </w:rPr>
      </w:pPr>
    </w:p>
    <w:p>
      <w:pPr>
        <w:spacing w:line="400" w:lineRule="exact"/>
        <w:jc w:val="center"/>
        <w:rPr>
          <w:rFonts w:ascii="宋体" w:hAnsi="宋体" w:eastAsia="宋体" w:cs="宋体"/>
          <w:b/>
          <w:bCs/>
          <w:color w:val="auto"/>
          <w:sz w:val="24"/>
          <w:highlight w:val="none"/>
        </w:rPr>
      </w:pPr>
      <w:r>
        <w:rPr>
          <w:rFonts w:hint="eastAsia" w:ascii="宋体" w:hAnsi="宋体" w:eastAsia="宋体" w:cs="宋体"/>
          <w:b/>
          <w:bCs/>
          <w:color w:val="auto"/>
          <w:sz w:val="28"/>
          <w:szCs w:val="28"/>
          <w:highlight w:val="none"/>
        </w:rPr>
        <w:t>评分办法</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963"/>
        <w:gridCol w:w="776"/>
        <w:gridCol w:w="6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699" w:type="dxa"/>
            <w:vAlign w:val="center"/>
          </w:tcPr>
          <w:p>
            <w:pPr>
              <w:autoSpaceDE w:val="0"/>
              <w:autoSpaceDN w:val="0"/>
              <w:adjustRightInd w:val="0"/>
              <w:spacing w:line="312" w:lineRule="auto"/>
              <w:jc w:val="center"/>
              <w:rPr>
                <w:rFonts w:ascii="宋体" w:cs="宋体"/>
                <w:color w:val="auto"/>
                <w:sz w:val="24"/>
                <w:highlight w:val="none"/>
              </w:rPr>
            </w:pPr>
            <w:r>
              <w:rPr>
                <w:rFonts w:hint="eastAsia" w:ascii="宋体" w:cs="宋体"/>
                <w:b/>
                <w:bCs/>
                <w:color w:val="auto"/>
                <w:sz w:val="24"/>
                <w:highlight w:val="none"/>
              </w:rPr>
              <w:t>序号</w:t>
            </w:r>
          </w:p>
        </w:tc>
        <w:tc>
          <w:tcPr>
            <w:tcW w:w="1963" w:type="dxa"/>
            <w:vAlign w:val="center"/>
          </w:tcPr>
          <w:p>
            <w:pPr>
              <w:autoSpaceDE w:val="0"/>
              <w:autoSpaceDN w:val="0"/>
              <w:adjustRightInd w:val="0"/>
              <w:spacing w:line="312" w:lineRule="auto"/>
              <w:jc w:val="center"/>
              <w:rPr>
                <w:rFonts w:ascii="宋体" w:cs="宋体"/>
                <w:color w:val="auto"/>
                <w:sz w:val="24"/>
                <w:highlight w:val="none"/>
              </w:rPr>
            </w:pPr>
            <w:r>
              <w:rPr>
                <w:rFonts w:hint="eastAsia" w:ascii="宋体" w:cs="宋体"/>
                <w:b/>
                <w:bCs/>
                <w:color w:val="auto"/>
                <w:sz w:val="24"/>
                <w:highlight w:val="none"/>
              </w:rPr>
              <w:t>评审内容</w:t>
            </w:r>
          </w:p>
        </w:tc>
        <w:tc>
          <w:tcPr>
            <w:tcW w:w="776" w:type="dxa"/>
            <w:vAlign w:val="center"/>
          </w:tcPr>
          <w:p>
            <w:pPr>
              <w:autoSpaceDE w:val="0"/>
              <w:autoSpaceDN w:val="0"/>
              <w:adjustRightInd w:val="0"/>
              <w:spacing w:line="312" w:lineRule="auto"/>
              <w:jc w:val="center"/>
              <w:rPr>
                <w:rFonts w:ascii="宋体" w:cs="宋体"/>
                <w:color w:val="auto"/>
                <w:sz w:val="24"/>
                <w:highlight w:val="none"/>
              </w:rPr>
            </w:pPr>
            <w:r>
              <w:rPr>
                <w:rFonts w:hint="eastAsia" w:ascii="宋体" w:cs="宋体"/>
                <w:b/>
                <w:bCs/>
                <w:color w:val="auto"/>
                <w:sz w:val="24"/>
                <w:highlight w:val="none"/>
              </w:rPr>
              <w:t>分值</w:t>
            </w:r>
          </w:p>
        </w:tc>
        <w:tc>
          <w:tcPr>
            <w:tcW w:w="6362" w:type="dxa"/>
            <w:vAlign w:val="center"/>
          </w:tcPr>
          <w:p>
            <w:pPr>
              <w:autoSpaceDE w:val="0"/>
              <w:autoSpaceDN w:val="0"/>
              <w:adjustRightInd w:val="0"/>
              <w:spacing w:line="312" w:lineRule="auto"/>
              <w:ind w:firstLine="120"/>
              <w:jc w:val="center"/>
              <w:rPr>
                <w:rFonts w:ascii="宋体" w:cs="宋体"/>
                <w:color w:val="auto"/>
                <w:sz w:val="24"/>
                <w:highlight w:val="none"/>
              </w:rPr>
            </w:pPr>
            <w:r>
              <w:rPr>
                <w:rFonts w:hint="eastAsia" w:ascii="宋体" w:cs="宋体"/>
                <w:b/>
                <w:bCs/>
                <w:color w:val="auto"/>
                <w:sz w:val="24"/>
                <w:highlight w:val="none"/>
              </w:rPr>
              <w:t>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jc w:val="center"/>
        </w:trPr>
        <w:tc>
          <w:tcPr>
            <w:tcW w:w="699" w:type="dxa"/>
            <w:vAlign w:val="center"/>
          </w:tcPr>
          <w:p>
            <w:pPr>
              <w:autoSpaceDE w:val="0"/>
              <w:autoSpaceDN w:val="0"/>
              <w:adjustRightInd w:val="0"/>
              <w:spacing w:line="312" w:lineRule="auto"/>
              <w:jc w:val="center"/>
              <w:rPr>
                <w:rFonts w:ascii="宋体" w:cs="宋体"/>
                <w:color w:val="auto"/>
                <w:sz w:val="24"/>
                <w:highlight w:val="none"/>
              </w:rPr>
            </w:pPr>
            <w:r>
              <w:rPr>
                <w:rFonts w:hint="eastAsia" w:ascii="宋体" w:cs="宋体"/>
                <w:color w:val="auto"/>
                <w:sz w:val="24"/>
                <w:highlight w:val="none"/>
              </w:rPr>
              <w:t>商务部分</w:t>
            </w:r>
          </w:p>
        </w:tc>
        <w:tc>
          <w:tcPr>
            <w:tcW w:w="1963" w:type="dxa"/>
            <w:vAlign w:val="center"/>
          </w:tcPr>
          <w:p>
            <w:pPr>
              <w:autoSpaceDE w:val="0"/>
              <w:autoSpaceDN w:val="0"/>
              <w:adjustRightInd w:val="0"/>
              <w:spacing w:line="276" w:lineRule="auto"/>
              <w:rPr>
                <w:rFonts w:ascii="宋体" w:cs="宋体"/>
                <w:color w:val="auto"/>
                <w:sz w:val="24"/>
                <w:highlight w:val="none"/>
              </w:rPr>
            </w:pPr>
            <w:r>
              <w:rPr>
                <w:rFonts w:hint="eastAsia" w:ascii="宋体" w:cs="宋体"/>
                <w:color w:val="auto"/>
                <w:sz w:val="24"/>
                <w:highlight w:val="none"/>
              </w:rPr>
              <w:t>审计后税前总造价让利比例</w:t>
            </w:r>
          </w:p>
        </w:tc>
        <w:tc>
          <w:tcPr>
            <w:tcW w:w="776" w:type="dxa"/>
            <w:vAlign w:val="center"/>
          </w:tcPr>
          <w:p>
            <w:pPr>
              <w:autoSpaceDE w:val="0"/>
              <w:autoSpaceDN w:val="0"/>
              <w:adjustRightInd w:val="0"/>
              <w:spacing w:line="276" w:lineRule="auto"/>
              <w:jc w:val="center"/>
              <w:rPr>
                <w:rFonts w:ascii="宋体" w:cs="宋体"/>
                <w:color w:val="auto"/>
                <w:sz w:val="24"/>
                <w:highlight w:val="none"/>
              </w:rPr>
            </w:pPr>
            <w:r>
              <w:rPr>
                <w:rFonts w:hint="eastAsia" w:ascii="宋体" w:cs="宋体"/>
                <w:color w:val="auto"/>
                <w:sz w:val="24"/>
                <w:highlight w:val="none"/>
              </w:rPr>
              <w:t>40</w:t>
            </w:r>
          </w:p>
        </w:tc>
        <w:tc>
          <w:tcPr>
            <w:tcW w:w="6362" w:type="dxa"/>
            <w:vAlign w:val="center"/>
          </w:tcPr>
          <w:p>
            <w:pPr>
              <w:autoSpaceDE w:val="0"/>
              <w:autoSpaceDN w:val="0"/>
              <w:adjustRightInd w:val="0"/>
              <w:spacing w:line="276" w:lineRule="auto"/>
              <w:rPr>
                <w:rFonts w:ascii="宋体" w:cs="宋体"/>
                <w:color w:val="auto"/>
                <w:sz w:val="24"/>
                <w:highlight w:val="none"/>
              </w:rPr>
            </w:pPr>
            <w:r>
              <w:rPr>
                <w:rFonts w:hint="eastAsia" w:ascii="宋体" w:hAnsi="宋体" w:eastAsia="宋体" w:cs="宋体"/>
                <w:color w:val="auto"/>
                <w:sz w:val="24"/>
                <w:highlight w:val="none"/>
              </w:rPr>
              <w:t>满足招标文件要求且投标价格最高的投标报价为评标基准价，其价格分为满分。其他供应商的价格分统一按照下列公式计算：投标报价得分＝（投标报价/评标基准价）*40%*100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699" w:type="dxa"/>
            <w:vMerge w:val="restart"/>
            <w:vAlign w:val="center"/>
          </w:tcPr>
          <w:p>
            <w:pPr>
              <w:autoSpaceDE w:val="0"/>
              <w:autoSpaceDN w:val="0"/>
              <w:adjustRightInd w:val="0"/>
              <w:spacing w:line="312" w:lineRule="auto"/>
              <w:jc w:val="center"/>
              <w:rPr>
                <w:rFonts w:ascii="宋体" w:cs="宋体"/>
                <w:color w:val="auto"/>
                <w:sz w:val="24"/>
                <w:highlight w:val="none"/>
              </w:rPr>
            </w:pPr>
            <w:r>
              <w:rPr>
                <w:rFonts w:hint="eastAsia" w:ascii="宋体" w:cs="宋体"/>
                <w:color w:val="auto"/>
                <w:sz w:val="24"/>
                <w:highlight w:val="none"/>
              </w:rPr>
              <w:t>资信部分</w:t>
            </w:r>
          </w:p>
        </w:tc>
        <w:tc>
          <w:tcPr>
            <w:tcW w:w="1963" w:type="dxa"/>
            <w:vAlign w:val="center"/>
          </w:tcPr>
          <w:p>
            <w:pPr>
              <w:autoSpaceDE w:val="0"/>
              <w:autoSpaceDN w:val="0"/>
              <w:adjustRightInd w:val="0"/>
              <w:spacing w:line="312" w:lineRule="auto"/>
              <w:jc w:val="center"/>
              <w:rPr>
                <w:rFonts w:ascii="宋体" w:cs="宋体"/>
                <w:color w:val="auto"/>
                <w:sz w:val="24"/>
                <w:highlight w:val="none"/>
              </w:rPr>
            </w:pPr>
            <w:r>
              <w:rPr>
                <w:rFonts w:hint="eastAsia" w:ascii="宋体" w:cs="宋体"/>
                <w:color w:val="auto"/>
                <w:sz w:val="24"/>
                <w:highlight w:val="none"/>
              </w:rPr>
              <w:t>企业业绩</w:t>
            </w:r>
          </w:p>
        </w:tc>
        <w:tc>
          <w:tcPr>
            <w:tcW w:w="776" w:type="dxa"/>
            <w:vAlign w:val="center"/>
          </w:tcPr>
          <w:p>
            <w:pPr>
              <w:autoSpaceDE w:val="0"/>
              <w:autoSpaceDN w:val="0"/>
              <w:adjustRightInd w:val="0"/>
              <w:spacing w:line="312" w:lineRule="auto"/>
              <w:jc w:val="center"/>
              <w:rPr>
                <w:rFonts w:ascii="宋体" w:cs="宋体"/>
                <w:color w:val="auto"/>
                <w:sz w:val="24"/>
                <w:highlight w:val="none"/>
              </w:rPr>
            </w:pPr>
            <w:r>
              <w:rPr>
                <w:rFonts w:hint="eastAsia" w:ascii="宋体" w:cs="宋体"/>
                <w:color w:val="auto"/>
                <w:sz w:val="24"/>
                <w:highlight w:val="none"/>
              </w:rPr>
              <w:t>6</w:t>
            </w:r>
          </w:p>
        </w:tc>
        <w:tc>
          <w:tcPr>
            <w:tcW w:w="6362" w:type="dxa"/>
            <w:vAlign w:val="center"/>
          </w:tcPr>
          <w:p>
            <w:pPr>
              <w:autoSpaceDE w:val="0"/>
              <w:autoSpaceDN w:val="0"/>
              <w:adjustRightInd w:val="0"/>
              <w:spacing w:line="312" w:lineRule="auto"/>
              <w:rPr>
                <w:rFonts w:ascii="宋体" w:cs="宋体"/>
                <w:color w:val="auto"/>
                <w:sz w:val="24"/>
                <w:highlight w:val="none"/>
              </w:rPr>
            </w:pPr>
            <w:r>
              <w:rPr>
                <w:rFonts w:hint="eastAsia" w:ascii="宋体" w:cs="宋体"/>
                <w:color w:val="auto"/>
                <w:sz w:val="24"/>
                <w:highlight w:val="none"/>
              </w:rPr>
              <w:t>企业近三年（2016年1月1日至今）有类似</w:t>
            </w:r>
            <w:r>
              <w:rPr>
                <w:rFonts w:ascii="宋体" w:cs="宋体"/>
                <w:color w:val="auto"/>
                <w:sz w:val="24"/>
                <w:highlight w:val="none"/>
              </w:rPr>
              <w:t>工程</w:t>
            </w:r>
            <w:r>
              <w:rPr>
                <w:rFonts w:hint="eastAsia" w:ascii="宋体" w:cs="宋体"/>
                <w:color w:val="auto"/>
                <w:sz w:val="24"/>
                <w:highlight w:val="none"/>
              </w:rPr>
              <w:t>业绩的，每有一项得2分，本项最多得6分。（以合同原件为准，时间以合同签订时间为准。）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699" w:type="dxa"/>
            <w:vMerge w:val="continue"/>
            <w:vAlign w:val="center"/>
          </w:tcPr>
          <w:p>
            <w:pPr>
              <w:autoSpaceDE w:val="0"/>
              <w:autoSpaceDN w:val="0"/>
              <w:adjustRightInd w:val="0"/>
              <w:spacing w:line="312" w:lineRule="auto"/>
              <w:jc w:val="center"/>
              <w:rPr>
                <w:rFonts w:ascii="宋体" w:cs="宋体"/>
                <w:color w:val="auto"/>
                <w:sz w:val="24"/>
                <w:highlight w:val="none"/>
              </w:rPr>
            </w:pPr>
          </w:p>
        </w:tc>
        <w:tc>
          <w:tcPr>
            <w:tcW w:w="1963" w:type="dxa"/>
            <w:vAlign w:val="center"/>
          </w:tcPr>
          <w:p>
            <w:pPr>
              <w:autoSpaceDE w:val="0"/>
              <w:autoSpaceDN w:val="0"/>
              <w:adjustRightInd w:val="0"/>
              <w:spacing w:line="312" w:lineRule="auto"/>
              <w:jc w:val="center"/>
              <w:rPr>
                <w:rFonts w:ascii="宋体" w:cs="宋体"/>
                <w:color w:val="auto"/>
                <w:sz w:val="24"/>
                <w:highlight w:val="none"/>
              </w:rPr>
            </w:pPr>
            <w:r>
              <w:rPr>
                <w:rFonts w:hint="eastAsia" w:ascii="宋体" w:cs="宋体"/>
                <w:color w:val="auto"/>
                <w:sz w:val="24"/>
                <w:highlight w:val="none"/>
              </w:rPr>
              <w:t>认证证书</w:t>
            </w:r>
          </w:p>
        </w:tc>
        <w:tc>
          <w:tcPr>
            <w:tcW w:w="776" w:type="dxa"/>
            <w:vAlign w:val="center"/>
          </w:tcPr>
          <w:p>
            <w:pPr>
              <w:autoSpaceDE w:val="0"/>
              <w:autoSpaceDN w:val="0"/>
              <w:adjustRightInd w:val="0"/>
              <w:spacing w:line="312" w:lineRule="auto"/>
              <w:jc w:val="center"/>
              <w:rPr>
                <w:rFonts w:ascii="宋体" w:cs="宋体"/>
                <w:color w:val="auto"/>
                <w:sz w:val="24"/>
                <w:highlight w:val="none"/>
              </w:rPr>
            </w:pPr>
            <w:r>
              <w:rPr>
                <w:rFonts w:hint="eastAsia" w:ascii="宋体" w:cs="宋体"/>
                <w:color w:val="auto"/>
                <w:sz w:val="24"/>
                <w:highlight w:val="none"/>
              </w:rPr>
              <w:t>3</w:t>
            </w:r>
          </w:p>
        </w:tc>
        <w:tc>
          <w:tcPr>
            <w:tcW w:w="6362" w:type="dxa"/>
            <w:vAlign w:val="center"/>
          </w:tcPr>
          <w:p>
            <w:pPr>
              <w:autoSpaceDE w:val="0"/>
              <w:autoSpaceDN w:val="0"/>
              <w:adjustRightInd w:val="0"/>
              <w:spacing w:line="312" w:lineRule="auto"/>
              <w:rPr>
                <w:rFonts w:ascii="宋体" w:cs="宋体"/>
                <w:color w:val="auto"/>
                <w:sz w:val="24"/>
                <w:highlight w:val="none"/>
              </w:rPr>
            </w:pPr>
            <w:r>
              <w:rPr>
                <w:rFonts w:hint="eastAsia" w:ascii="宋体" w:cs="宋体"/>
                <w:color w:val="auto"/>
                <w:sz w:val="24"/>
                <w:highlight w:val="none"/>
              </w:rPr>
              <w:t>质量、环境、职业健康安全管理体系认证证书合法有效，每有一项得1分，本项最多得3分。</w:t>
            </w:r>
            <w:r>
              <w:rPr>
                <w:rFonts w:hint="eastAsia" w:ascii="宋体" w:hAnsi="宋体" w:cs="宋体"/>
                <w:bCs/>
                <w:color w:val="auto"/>
                <w:kern w:val="0"/>
                <w:sz w:val="24"/>
                <w:highlight w:val="none"/>
              </w:rPr>
              <w:t>（需提供证书原件，不提供不得分）。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699" w:type="dxa"/>
            <w:vMerge w:val="continue"/>
            <w:vAlign w:val="center"/>
          </w:tcPr>
          <w:p>
            <w:pPr>
              <w:autoSpaceDE w:val="0"/>
              <w:autoSpaceDN w:val="0"/>
              <w:adjustRightInd w:val="0"/>
              <w:spacing w:line="312" w:lineRule="auto"/>
              <w:jc w:val="center"/>
              <w:rPr>
                <w:rFonts w:ascii="宋体" w:cs="宋体"/>
                <w:color w:val="auto"/>
                <w:sz w:val="24"/>
                <w:highlight w:val="none"/>
              </w:rPr>
            </w:pPr>
          </w:p>
        </w:tc>
        <w:tc>
          <w:tcPr>
            <w:tcW w:w="1963" w:type="dxa"/>
            <w:vAlign w:val="center"/>
          </w:tcPr>
          <w:p>
            <w:pPr>
              <w:autoSpaceDE w:val="0"/>
              <w:autoSpaceDN w:val="0"/>
              <w:adjustRightInd w:val="0"/>
              <w:spacing w:line="312" w:lineRule="auto"/>
              <w:jc w:val="center"/>
              <w:rPr>
                <w:rFonts w:ascii="宋体" w:cs="宋体"/>
                <w:color w:val="auto"/>
                <w:sz w:val="24"/>
                <w:highlight w:val="none"/>
              </w:rPr>
            </w:pPr>
            <w:r>
              <w:rPr>
                <w:rFonts w:hint="eastAsia" w:ascii="宋体" w:cs="宋体"/>
                <w:color w:val="auto"/>
                <w:sz w:val="24"/>
                <w:highlight w:val="none"/>
              </w:rPr>
              <w:t>项目负责人</w:t>
            </w:r>
          </w:p>
        </w:tc>
        <w:tc>
          <w:tcPr>
            <w:tcW w:w="776" w:type="dxa"/>
            <w:vAlign w:val="center"/>
          </w:tcPr>
          <w:p>
            <w:pPr>
              <w:autoSpaceDE w:val="0"/>
              <w:autoSpaceDN w:val="0"/>
              <w:adjustRightInd w:val="0"/>
              <w:spacing w:line="312" w:lineRule="auto"/>
              <w:jc w:val="center"/>
              <w:rPr>
                <w:rFonts w:ascii="宋体" w:cs="宋体"/>
                <w:color w:val="auto"/>
                <w:sz w:val="24"/>
                <w:highlight w:val="none"/>
              </w:rPr>
            </w:pPr>
            <w:r>
              <w:rPr>
                <w:rFonts w:hint="eastAsia" w:ascii="宋体" w:cs="宋体"/>
                <w:color w:val="auto"/>
                <w:sz w:val="24"/>
                <w:highlight w:val="none"/>
              </w:rPr>
              <w:t>4</w:t>
            </w:r>
          </w:p>
        </w:tc>
        <w:tc>
          <w:tcPr>
            <w:tcW w:w="6362" w:type="dxa"/>
            <w:vAlign w:val="center"/>
          </w:tcPr>
          <w:p>
            <w:pPr>
              <w:numPr>
                <w:ilvl w:val="0"/>
                <w:numId w:val="2"/>
              </w:numPr>
              <w:autoSpaceDE w:val="0"/>
              <w:autoSpaceDN w:val="0"/>
              <w:adjustRightInd w:val="0"/>
              <w:spacing w:line="312" w:lineRule="auto"/>
              <w:rPr>
                <w:rFonts w:ascii="宋体" w:cs="宋体"/>
                <w:color w:val="auto"/>
                <w:sz w:val="24"/>
                <w:highlight w:val="none"/>
              </w:rPr>
            </w:pPr>
            <w:r>
              <w:rPr>
                <w:rFonts w:hint="eastAsia" w:ascii="宋体" w:cs="宋体"/>
                <w:color w:val="auto"/>
                <w:sz w:val="24"/>
                <w:highlight w:val="none"/>
              </w:rPr>
              <w:t>项目负责人具有相关专业系列中级及以上职称得2分，本项最多得2分。（需提供证书原件，不提供不得分）。</w:t>
            </w:r>
          </w:p>
          <w:p>
            <w:pPr>
              <w:numPr>
                <w:ilvl w:val="0"/>
                <w:numId w:val="2"/>
              </w:numPr>
              <w:autoSpaceDE w:val="0"/>
              <w:autoSpaceDN w:val="0"/>
              <w:adjustRightInd w:val="0"/>
              <w:spacing w:line="312" w:lineRule="auto"/>
              <w:rPr>
                <w:rFonts w:ascii="宋体" w:cs="宋体"/>
                <w:color w:val="auto"/>
                <w:sz w:val="24"/>
                <w:highlight w:val="none"/>
              </w:rPr>
            </w:pPr>
            <w:r>
              <w:rPr>
                <w:rFonts w:hint="eastAsia" w:ascii="宋体" w:cs="宋体"/>
                <w:color w:val="auto"/>
                <w:sz w:val="24"/>
                <w:highlight w:val="none"/>
              </w:rPr>
              <w:t>项目班子成员具有</w:t>
            </w:r>
            <w:r>
              <w:rPr>
                <w:rFonts w:hint="eastAsia" w:ascii="宋体" w:hAnsi="宋体" w:eastAsia="宋体" w:cs="宋体"/>
                <w:color w:val="auto"/>
                <w:sz w:val="24"/>
                <w:highlight w:val="none"/>
              </w:rPr>
              <w:t>一级注册消防工程师的</w:t>
            </w:r>
            <w:r>
              <w:rPr>
                <w:rFonts w:hint="eastAsia" w:ascii="宋体" w:cs="宋体"/>
                <w:color w:val="auto"/>
                <w:sz w:val="24"/>
                <w:highlight w:val="none"/>
              </w:rPr>
              <w:t>得2分，本项最多得2分。（需提供证书原件，不提供不得分）。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699" w:type="dxa"/>
            <w:vMerge w:val="continue"/>
            <w:vAlign w:val="center"/>
          </w:tcPr>
          <w:p>
            <w:pPr>
              <w:autoSpaceDE w:val="0"/>
              <w:autoSpaceDN w:val="0"/>
              <w:adjustRightInd w:val="0"/>
              <w:spacing w:line="312" w:lineRule="auto"/>
              <w:jc w:val="center"/>
              <w:rPr>
                <w:rFonts w:ascii="宋体" w:cs="宋体"/>
                <w:color w:val="auto"/>
                <w:sz w:val="24"/>
                <w:highlight w:val="none"/>
              </w:rPr>
            </w:pPr>
          </w:p>
        </w:tc>
        <w:tc>
          <w:tcPr>
            <w:tcW w:w="1963" w:type="dxa"/>
            <w:vAlign w:val="center"/>
          </w:tcPr>
          <w:p>
            <w:pPr>
              <w:autoSpaceDE w:val="0"/>
              <w:autoSpaceDN w:val="0"/>
              <w:adjustRightInd w:val="0"/>
              <w:spacing w:line="312" w:lineRule="auto"/>
              <w:jc w:val="center"/>
              <w:rPr>
                <w:rFonts w:ascii="宋体" w:cs="宋体"/>
                <w:color w:val="auto"/>
                <w:sz w:val="24"/>
                <w:highlight w:val="none"/>
              </w:rPr>
            </w:pPr>
            <w:r>
              <w:rPr>
                <w:rFonts w:hint="eastAsia" w:ascii="宋体" w:cs="宋体"/>
                <w:color w:val="auto"/>
                <w:sz w:val="24"/>
                <w:highlight w:val="none"/>
              </w:rPr>
              <w:t>施工组织设计</w:t>
            </w:r>
          </w:p>
        </w:tc>
        <w:tc>
          <w:tcPr>
            <w:tcW w:w="776" w:type="dxa"/>
            <w:vAlign w:val="center"/>
          </w:tcPr>
          <w:p>
            <w:pPr>
              <w:autoSpaceDE w:val="0"/>
              <w:autoSpaceDN w:val="0"/>
              <w:adjustRightInd w:val="0"/>
              <w:spacing w:line="312" w:lineRule="auto"/>
              <w:jc w:val="center"/>
              <w:rPr>
                <w:rFonts w:ascii="宋体" w:cs="宋体"/>
                <w:color w:val="auto"/>
                <w:sz w:val="24"/>
                <w:highlight w:val="none"/>
              </w:rPr>
            </w:pPr>
            <w:r>
              <w:rPr>
                <w:rFonts w:hint="eastAsia" w:ascii="宋体" w:cs="宋体"/>
                <w:color w:val="auto"/>
                <w:sz w:val="24"/>
                <w:highlight w:val="none"/>
              </w:rPr>
              <w:t>42</w:t>
            </w:r>
          </w:p>
        </w:tc>
        <w:tc>
          <w:tcPr>
            <w:tcW w:w="6362" w:type="dxa"/>
            <w:vAlign w:val="center"/>
          </w:tcPr>
          <w:p>
            <w:pPr>
              <w:autoSpaceDE w:val="0"/>
              <w:autoSpaceDN w:val="0"/>
              <w:adjustRightInd w:val="0"/>
              <w:spacing w:line="312" w:lineRule="auto"/>
              <w:rPr>
                <w:rFonts w:ascii="宋体" w:cs="宋体"/>
                <w:color w:val="auto"/>
                <w:sz w:val="24"/>
                <w:highlight w:val="none"/>
              </w:rPr>
            </w:pPr>
            <w:r>
              <w:rPr>
                <w:rFonts w:hint="eastAsia" w:ascii="宋体" w:cs="宋体"/>
                <w:color w:val="auto"/>
                <w:sz w:val="24"/>
                <w:highlight w:val="none"/>
              </w:rPr>
              <w:t>1、工程投入的主要施工机械设备情况、主要施工机械进场计划；</w:t>
            </w:r>
          </w:p>
          <w:p>
            <w:pPr>
              <w:autoSpaceDE w:val="0"/>
              <w:autoSpaceDN w:val="0"/>
              <w:adjustRightInd w:val="0"/>
              <w:spacing w:line="312" w:lineRule="auto"/>
              <w:rPr>
                <w:rFonts w:ascii="宋体" w:cs="宋体"/>
                <w:color w:val="auto"/>
                <w:sz w:val="24"/>
                <w:highlight w:val="none"/>
              </w:rPr>
            </w:pPr>
            <w:r>
              <w:rPr>
                <w:rFonts w:hint="eastAsia" w:ascii="宋体" w:cs="宋体"/>
                <w:color w:val="auto"/>
                <w:sz w:val="24"/>
                <w:highlight w:val="none"/>
              </w:rPr>
              <w:t>2、确保工程质量的技术组织措施；</w:t>
            </w:r>
          </w:p>
          <w:p>
            <w:pPr>
              <w:autoSpaceDE w:val="0"/>
              <w:autoSpaceDN w:val="0"/>
              <w:adjustRightInd w:val="0"/>
              <w:spacing w:line="312" w:lineRule="auto"/>
              <w:rPr>
                <w:rFonts w:ascii="宋体" w:cs="宋体"/>
                <w:color w:val="auto"/>
                <w:sz w:val="24"/>
                <w:highlight w:val="none"/>
              </w:rPr>
            </w:pPr>
            <w:r>
              <w:rPr>
                <w:rFonts w:hint="eastAsia" w:ascii="宋体" w:cs="宋体"/>
                <w:color w:val="auto"/>
                <w:sz w:val="24"/>
                <w:highlight w:val="none"/>
              </w:rPr>
              <w:t>3、确保安全生产、文明施工的技术组织措施；</w:t>
            </w:r>
          </w:p>
          <w:p>
            <w:pPr>
              <w:autoSpaceDE w:val="0"/>
              <w:autoSpaceDN w:val="0"/>
              <w:adjustRightInd w:val="0"/>
              <w:spacing w:line="312" w:lineRule="auto"/>
              <w:rPr>
                <w:rFonts w:ascii="宋体" w:cs="宋体"/>
                <w:color w:val="auto"/>
                <w:sz w:val="24"/>
                <w:highlight w:val="none"/>
              </w:rPr>
            </w:pPr>
            <w:r>
              <w:rPr>
                <w:rFonts w:hint="eastAsia" w:ascii="宋体" w:cs="宋体"/>
                <w:color w:val="auto"/>
                <w:sz w:val="24"/>
                <w:highlight w:val="none"/>
              </w:rPr>
              <w:t>4、确保工期的技术组织措施；</w:t>
            </w:r>
          </w:p>
          <w:p>
            <w:pPr>
              <w:autoSpaceDE w:val="0"/>
              <w:autoSpaceDN w:val="0"/>
              <w:adjustRightInd w:val="0"/>
              <w:spacing w:line="312" w:lineRule="auto"/>
              <w:rPr>
                <w:rFonts w:ascii="宋体" w:cs="宋体"/>
                <w:color w:val="auto"/>
                <w:sz w:val="24"/>
                <w:highlight w:val="none"/>
              </w:rPr>
            </w:pPr>
            <w:r>
              <w:rPr>
                <w:rFonts w:hint="eastAsia" w:ascii="宋体" w:cs="宋体"/>
                <w:color w:val="auto"/>
                <w:sz w:val="24"/>
                <w:highlight w:val="none"/>
              </w:rPr>
              <w:t>5、针对项目实际情况关键施工技术、工艺及工程项目实施的重点、难点分析和解决方案；</w:t>
            </w:r>
          </w:p>
          <w:p>
            <w:pPr>
              <w:autoSpaceDE w:val="0"/>
              <w:autoSpaceDN w:val="0"/>
              <w:adjustRightInd w:val="0"/>
              <w:spacing w:line="312" w:lineRule="auto"/>
              <w:rPr>
                <w:rFonts w:ascii="宋体" w:cs="宋体"/>
                <w:color w:val="auto"/>
                <w:sz w:val="24"/>
                <w:highlight w:val="none"/>
              </w:rPr>
            </w:pPr>
            <w:r>
              <w:rPr>
                <w:rFonts w:hint="eastAsia" w:ascii="宋体" w:cs="宋体"/>
                <w:color w:val="auto"/>
                <w:sz w:val="24"/>
                <w:highlight w:val="none"/>
              </w:rPr>
              <w:t>根据施工组织设计内容齐全、安排恰当、措施可行的程度；6、应急维修服务措施、常规维修服务预案、与甲方的配合措施、服从甲方管理的服务承诺；</w:t>
            </w:r>
          </w:p>
          <w:p>
            <w:pPr>
              <w:autoSpaceDE w:val="0"/>
              <w:autoSpaceDN w:val="0"/>
              <w:adjustRightInd w:val="0"/>
              <w:spacing w:line="312" w:lineRule="auto"/>
              <w:rPr>
                <w:rFonts w:ascii="宋体" w:cs="宋体"/>
                <w:color w:val="auto"/>
                <w:sz w:val="24"/>
                <w:highlight w:val="none"/>
              </w:rPr>
            </w:pPr>
            <w:r>
              <w:rPr>
                <w:rFonts w:hint="eastAsia" w:ascii="宋体" w:cs="宋体"/>
                <w:color w:val="auto"/>
                <w:sz w:val="24"/>
                <w:highlight w:val="none"/>
              </w:rPr>
              <w:t>7、项目班子配备内容齐全、安排恰当、措施可行的程度</w:t>
            </w:r>
          </w:p>
          <w:p>
            <w:pPr>
              <w:autoSpaceDE w:val="0"/>
              <w:autoSpaceDN w:val="0"/>
              <w:adjustRightInd w:val="0"/>
              <w:spacing w:line="312" w:lineRule="auto"/>
              <w:rPr>
                <w:rFonts w:ascii="宋体" w:cs="宋体"/>
                <w:color w:val="auto"/>
                <w:sz w:val="24"/>
                <w:highlight w:val="none"/>
              </w:rPr>
            </w:pPr>
            <w:r>
              <w:rPr>
                <w:rFonts w:hint="eastAsia" w:ascii="宋体" w:cs="宋体"/>
                <w:color w:val="auto"/>
                <w:sz w:val="24"/>
                <w:highlight w:val="none"/>
              </w:rPr>
              <w:t>每项得0-6分，缺项或不合理不可行不得分。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2662" w:type="dxa"/>
            <w:gridSpan w:val="2"/>
            <w:vAlign w:val="center"/>
          </w:tcPr>
          <w:p>
            <w:pPr>
              <w:autoSpaceDE w:val="0"/>
              <w:autoSpaceDN w:val="0"/>
              <w:adjustRightInd w:val="0"/>
              <w:spacing w:line="312" w:lineRule="auto"/>
              <w:jc w:val="center"/>
              <w:rPr>
                <w:rFonts w:ascii="宋体" w:cs="宋体"/>
                <w:color w:val="auto"/>
                <w:sz w:val="24"/>
                <w:highlight w:val="none"/>
              </w:rPr>
            </w:pPr>
            <w:r>
              <w:rPr>
                <w:rFonts w:hint="eastAsia" w:ascii="宋体" w:cs="宋体"/>
                <w:color w:val="auto"/>
                <w:sz w:val="24"/>
                <w:highlight w:val="none"/>
              </w:rPr>
              <w:t>服务承诺及优惠条款</w:t>
            </w:r>
          </w:p>
        </w:tc>
        <w:tc>
          <w:tcPr>
            <w:tcW w:w="776" w:type="dxa"/>
            <w:vAlign w:val="center"/>
          </w:tcPr>
          <w:p>
            <w:pPr>
              <w:autoSpaceDE w:val="0"/>
              <w:autoSpaceDN w:val="0"/>
              <w:adjustRightInd w:val="0"/>
              <w:spacing w:line="312" w:lineRule="auto"/>
              <w:jc w:val="center"/>
              <w:rPr>
                <w:rFonts w:ascii="宋体" w:cs="宋体"/>
                <w:color w:val="auto"/>
                <w:sz w:val="24"/>
                <w:highlight w:val="none"/>
              </w:rPr>
            </w:pPr>
            <w:r>
              <w:rPr>
                <w:rFonts w:hint="eastAsia" w:ascii="宋体" w:cs="宋体"/>
                <w:color w:val="auto"/>
                <w:sz w:val="24"/>
                <w:highlight w:val="none"/>
              </w:rPr>
              <w:t>5</w:t>
            </w:r>
          </w:p>
        </w:tc>
        <w:tc>
          <w:tcPr>
            <w:tcW w:w="6362" w:type="dxa"/>
          </w:tcPr>
          <w:p>
            <w:pPr>
              <w:autoSpaceDE w:val="0"/>
              <w:autoSpaceDN w:val="0"/>
              <w:adjustRightInd w:val="0"/>
              <w:spacing w:line="312" w:lineRule="auto"/>
              <w:rPr>
                <w:rFonts w:ascii="宋体" w:cs="宋体"/>
                <w:color w:val="auto"/>
                <w:sz w:val="24"/>
                <w:highlight w:val="none"/>
              </w:rPr>
            </w:pPr>
            <w:r>
              <w:rPr>
                <w:rFonts w:hint="eastAsia" w:ascii="宋体" w:cs="宋体"/>
                <w:color w:val="auto"/>
                <w:sz w:val="24"/>
                <w:highlight w:val="none"/>
              </w:rPr>
              <w:t>经磋商小组认可的除价格以外的优惠条款、合理化建议每采纳一条得1分，本项最多得5分。</w:t>
            </w:r>
          </w:p>
        </w:tc>
      </w:tr>
    </w:tbl>
    <w:p>
      <w:pPr>
        <w:spacing w:line="400" w:lineRule="exact"/>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备注：</w:t>
      </w:r>
    </w:p>
    <w:p>
      <w:pPr>
        <w:spacing w:line="400" w:lineRule="exact"/>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1、评分标准仅针对供应商；</w:t>
      </w:r>
    </w:p>
    <w:p>
      <w:pPr>
        <w:spacing w:line="400" w:lineRule="exact"/>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2、本项目不接受低于成本投标报价；</w:t>
      </w:r>
    </w:p>
    <w:p>
      <w:pPr>
        <w:spacing w:line="400" w:lineRule="exact"/>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3、本项目不接受负偏离；</w:t>
      </w:r>
    </w:p>
    <w:p>
      <w:pPr>
        <w:spacing w:line="400" w:lineRule="exact"/>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4、本项目不接受不平衡报价；</w:t>
      </w:r>
    </w:p>
    <w:p>
      <w:pPr>
        <w:spacing w:line="400" w:lineRule="exact"/>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5、评分如出现小数点，则保留小数点后两位；</w:t>
      </w:r>
    </w:p>
    <w:p>
      <w:pPr>
        <w:spacing w:line="400" w:lineRule="exact"/>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 xml:space="preserve">6、各供应商得分为所有磋商小组成员所打分数的平均值； </w:t>
      </w:r>
    </w:p>
    <w:p>
      <w:pPr>
        <w:spacing w:line="400" w:lineRule="exact"/>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7、在任何评标环节中，需磋商小组就某项定性的评审结论做出表决的，由磋商小组全体成员按照少数服从多数的原则，以记名投票方式表决。</w:t>
      </w:r>
    </w:p>
    <w:p>
      <w:pPr>
        <w:pStyle w:val="9"/>
        <w:spacing w:after="0" w:line="400" w:lineRule="exact"/>
        <w:ind w:firstLine="482" w:firstLineChars="200"/>
        <w:rPr>
          <w:rFonts w:eastAsia="宋体" w:cs="宋体"/>
          <w:b/>
          <w:color w:val="auto"/>
          <w:sz w:val="24"/>
          <w:highlight w:val="none"/>
        </w:rPr>
      </w:pPr>
      <w:r>
        <w:rPr>
          <w:rFonts w:hint="eastAsia" w:eastAsia="宋体" w:cs="宋体"/>
          <w:b/>
          <w:color w:val="auto"/>
          <w:sz w:val="24"/>
          <w:highlight w:val="none"/>
        </w:rPr>
        <w:t>8、磋商小组应当根据综合评分情况，按照评审得分由高到低顺序推荐3名成交候选供应商，并编写评审报告。</w:t>
      </w:r>
    </w:p>
    <w:p>
      <w:pPr>
        <w:pStyle w:val="9"/>
        <w:spacing w:after="0" w:line="400" w:lineRule="exact"/>
        <w:ind w:firstLine="482" w:firstLineChars="200"/>
        <w:rPr>
          <w:rFonts w:eastAsia="宋体" w:cs="宋体"/>
          <w:b/>
          <w:color w:val="auto"/>
          <w:highlight w:val="none"/>
        </w:rPr>
      </w:pPr>
      <w:r>
        <w:rPr>
          <w:rFonts w:hint="eastAsia" w:eastAsia="宋体" w:cs="宋体"/>
          <w:b/>
          <w:color w:val="auto"/>
          <w:sz w:val="24"/>
          <w:highlight w:val="none"/>
        </w:rPr>
        <w:t>9、评审得分相同的，按照最后报价由低到高的顺序推荐。评审得分且最后报价相同的，按照技术指标优劣顺序推荐。</w:t>
      </w:r>
    </w:p>
    <w:p>
      <w:pPr>
        <w:rPr>
          <w:rFonts w:ascii="宋体" w:hAnsi="宋体" w:eastAsia="宋体" w:cs="宋体"/>
          <w:color w:val="auto"/>
          <w:highlight w:val="none"/>
        </w:rPr>
      </w:pPr>
    </w:p>
    <w:p>
      <w:pPr>
        <w:rPr>
          <w:rFonts w:ascii="宋体" w:hAnsi="宋体" w:eastAsia="宋体" w:cs="宋体"/>
          <w:color w:val="auto"/>
          <w:highlight w:val="none"/>
        </w:rPr>
      </w:pPr>
    </w:p>
    <w:sectPr>
      <w:headerReference r:id="rId4" w:type="first"/>
      <w:footerReference r:id="rId6" w:type="first"/>
      <w:headerReference r:id="rId3" w:type="default"/>
      <w:footerReference r:id="rId5" w:type="default"/>
      <w:pgSz w:w="11907" w:h="16840"/>
      <w:pgMar w:top="1304" w:right="1134" w:bottom="1304" w:left="1134" w:header="851" w:footer="851" w:gutter="0"/>
      <w:pgNumType w:start="1"/>
      <w:cols w:space="720" w:num="1"/>
      <w:titlePg/>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Tahoma"/>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pict>
        <v:shape id="_x0000_s1027" o:spid="_x0000_s1027"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DFzJfyFgIAABcEAAAOAAAAAAAA&#10;AAEAIAAAAB8BAABkcnMvZTJvRG9jLnhtbFBLBQYAAAAABgAGAFkBAACnBQAAAAA=&#10;">
          <v:path/>
          <v:fill on="f" focussize="0,0"/>
          <v:stroke on="f" weight="0.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21</w:t>
                </w:r>
                <w:r>
                  <w:rPr>
                    <w:rFonts w:hint="eastAsia"/>
                    <w:sz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l1egXAgAAFw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DyXV6BcCAAAXBAAADgAAAAAA&#10;AAABACAAAAAfAQAAZHJzL2Uyb0RvYy54bWxQSwUGAAAAAAYABgBZAQAAqAUAAAAA&#10;">
          <v:path/>
          <v:fill on="f" focussize="0,0"/>
          <v:stroke on="f" weight="0.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E770E7"/>
    <w:multiLevelType w:val="singleLevel"/>
    <w:tmpl w:val="B0E770E7"/>
    <w:lvl w:ilvl="0" w:tentative="0">
      <w:start w:val="2"/>
      <w:numFmt w:val="chineseCounting"/>
      <w:suff w:val="nothing"/>
      <w:lvlText w:val="（%1）"/>
      <w:lvlJc w:val="left"/>
      <w:rPr>
        <w:rFonts w:hint="eastAsia"/>
      </w:rPr>
    </w:lvl>
  </w:abstractNum>
  <w:abstractNum w:abstractNumId="1">
    <w:nsid w:val="406F8221"/>
    <w:multiLevelType w:val="singleLevel"/>
    <w:tmpl w:val="406F822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7F180178"/>
    <w:rsid w:val="00014527"/>
    <w:rsid w:val="00221FEC"/>
    <w:rsid w:val="00237EEB"/>
    <w:rsid w:val="002D4091"/>
    <w:rsid w:val="00317C0B"/>
    <w:rsid w:val="003F7CB2"/>
    <w:rsid w:val="004867AD"/>
    <w:rsid w:val="005A67DB"/>
    <w:rsid w:val="006E476D"/>
    <w:rsid w:val="009B2742"/>
    <w:rsid w:val="00B056B6"/>
    <w:rsid w:val="00B377FB"/>
    <w:rsid w:val="00BB69B4"/>
    <w:rsid w:val="00C87F35"/>
    <w:rsid w:val="00EB663D"/>
    <w:rsid w:val="00FE6429"/>
    <w:rsid w:val="00FF00C0"/>
    <w:rsid w:val="015D435C"/>
    <w:rsid w:val="01AC1368"/>
    <w:rsid w:val="020A6EC5"/>
    <w:rsid w:val="02774264"/>
    <w:rsid w:val="02AD60E7"/>
    <w:rsid w:val="02D51BF8"/>
    <w:rsid w:val="02D70F4E"/>
    <w:rsid w:val="02D91963"/>
    <w:rsid w:val="02FD3A89"/>
    <w:rsid w:val="031520DF"/>
    <w:rsid w:val="03237E7A"/>
    <w:rsid w:val="03415E80"/>
    <w:rsid w:val="037844CA"/>
    <w:rsid w:val="042B4A06"/>
    <w:rsid w:val="044D7BD0"/>
    <w:rsid w:val="046A53ED"/>
    <w:rsid w:val="04C81C1A"/>
    <w:rsid w:val="04F86624"/>
    <w:rsid w:val="04FF4840"/>
    <w:rsid w:val="050A27D8"/>
    <w:rsid w:val="0511220D"/>
    <w:rsid w:val="0533184F"/>
    <w:rsid w:val="056116D0"/>
    <w:rsid w:val="05676719"/>
    <w:rsid w:val="056C0AFD"/>
    <w:rsid w:val="05775647"/>
    <w:rsid w:val="058D31EF"/>
    <w:rsid w:val="05B85F7B"/>
    <w:rsid w:val="05D71DC1"/>
    <w:rsid w:val="05E359D6"/>
    <w:rsid w:val="061872AC"/>
    <w:rsid w:val="065B625D"/>
    <w:rsid w:val="06B06C97"/>
    <w:rsid w:val="06DE413E"/>
    <w:rsid w:val="0772010F"/>
    <w:rsid w:val="0784406E"/>
    <w:rsid w:val="07AF69D9"/>
    <w:rsid w:val="0814705E"/>
    <w:rsid w:val="08253F82"/>
    <w:rsid w:val="084D3040"/>
    <w:rsid w:val="086A66F0"/>
    <w:rsid w:val="08C0266E"/>
    <w:rsid w:val="08DD4965"/>
    <w:rsid w:val="08DE1DBE"/>
    <w:rsid w:val="095A09F4"/>
    <w:rsid w:val="09977611"/>
    <w:rsid w:val="09A452B8"/>
    <w:rsid w:val="09B34ABB"/>
    <w:rsid w:val="09CD0333"/>
    <w:rsid w:val="0AAF18AB"/>
    <w:rsid w:val="0ABC1025"/>
    <w:rsid w:val="0AF85966"/>
    <w:rsid w:val="0B99741B"/>
    <w:rsid w:val="0BAC2A85"/>
    <w:rsid w:val="0C1A55B4"/>
    <w:rsid w:val="0C2A60D4"/>
    <w:rsid w:val="0D1938DD"/>
    <w:rsid w:val="0D2A4E40"/>
    <w:rsid w:val="0D4678B7"/>
    <w:rsid w:val="0D4D6F40"/>
    <w:rsid w:val="0D5A33ED"/>
    <w:rsid w:val="0D621E72"/>
    <w:rsid w:val="0DC40D62"/>
    <w:rsid w:val="0E06405F"/>
    <w:rsid w:val="0ECC31C7"/>
    <w:rsid w:val="0EF81494"/>
    <w:rsid w:val="0F4B7B11"/>
    <w:rsid w:val="0F9F5FEE"/>
    <w:rsid w:val="0FB651BF"/>
    <w:rsid w:val="0FE819D3"/>
    <w:rsid w:val="102F408C"/>
    <w:rsid w:val="104F5AC1"/>
    <w:rsid w:val="1060143B"/>
    <w:rsid w:val="111A6C36"/>
    <w:rsid w:val="11424C95"/>
    <w:rsid w:val="114B2C5B"/>
    <w:rsid w:val="11BC35D9"/>
    <w:rsid w:val="11DC7630"/>
    <w:rsid w:val="12345EBF"/>
    <w:rsid w:val="123D654C"/>
    <w:rsid w:val="12F418DF"/>
    <w:rsid w:val="13174D1C"/>
    <w:rsid w:val="133B530D"/>
    <w:rsid w:val="13465828"/>
    <w:rsid w:val="134C49B8"/>
    <w:rsid w:val="13846C33"/>
    <w:rsid w:val="138E69C1"/>
    <w:rsid w:val="13984F2C"/>
    <w:rsid w:val="144314E8"/>
    <w:rsid w:val="14C04795"/>
    <w:rsid w:val="14C808E2"/>
    <w:rsid w:val="14CD5EBE"/>
    <w:rsid w:val="151273BD"/>
    <w:rsid w:val="15142E44"/>
    <w:rsid w:val="151D783C"/>
    <w:rsid w:val="154F22F5"/>
    <w:rsid w:val="15683D54"/>
    <w:rsid w:val="1697535F"/>
    <w:rsid w:val="16DA5A00"/>
    <w:rsid w:val="16F163F8"/>
    <w:rsid w:val="16FE1E7D"/>
    <w:rsid w:val="1754303A"/>
    <w:rsid w:val="17990BD5"/>
    <w:rsid w:val="179C42ED"/>
    <w:rsid w:val="17B668C6"/>
    <w:rsid w:val="17D7573B"/>
    <w:rsid w:val="17DA22D2"/>
    <w:rsid w:val="185B6664"/>
    <w:rsid w:val="18872C9F"/>
    <w:rsid w:val="18D25FF1"/>
    <w:rsid w:val="196E296E"/>
    <w:rsid w:val="198655DE"/>
    <w:rsid w:val="19B5079F"/>
    <w:rsid w:val="19C56237"/>
    <w:rsid w:val="19F1095C"/>
    <w:rsid w:val="1A4751CD"/>
    <w:rsid w:val="1A4C76E1"/>
    <w:rsid w:val="1A5A6450"/>
    <w:rsid w:val="1A93301D"/>
    <w:rsid w:val="1ACB7E0D"/>
    <w:rsid w:val="1AFA060A"/>
    <w:rsid w:val="1B67436A"/>
    <w:rsid w:val="1BAB309A"/>
    <w:rsid w:val="1BEC54CD"/>
    <w:rsid w:val="1C1F498C"/>
    <w:rsid w:val="1C221F12"/>
    <w:rsid w:val="1C285A23"/>
    <w:rsid w:val="1C37148D"/>
    <w:rsid w:val="1CA134B7"/>
    <w:rsid w:val="1CF35F2C"/>
    <w:rsid w:val="1DC17DD9"/>
    <w:rsid w:val="1DDA7AB1"/>
    <w:rsid w:val="1DF006EC"/>
    <w:rsid w:val="1E5858DA"/>
    <w:rsid w:val="1E823FF5"/>
    <w:rsid w:val="1EDA12EB"/>
    <w:rsid w:val="1F1C3E46"/>
    <w:rsid w:val="1F251DBF"/>
    <w:rsid w:val="1F571102"/>
    <w:rsid w:val="1FF30F43"/>
    <w:rsid w:val="20022251"/>
    <w:rsid w:val="206248A8"/>
    <w:rsid w:val="217F001B"/>
    <w:rsid w:val="21B836FD"/>
    <w:rsid w:val="22B13B68"/>
    <w:rsid w:val="22B53C5B"/>
    <w:rsid w:val="22C709FD"/>
    <w:rsid w:val="23391306"/>
    <w:rsid w:val="235D53F6"/>
    <w:rsid w:val="238120E5"/>
    <w:rsid w:val="23956154"/>
    <w:rsid w:val="23AC3426"/>
    <w:rsid w:val="23B85436"/>
    <w:rsid w:val="23F768BB"/>
    <w:rsid w:val="24324540"/>
    <w:rsid w:val="248B3960"/>
    <w:rsid w:val="249B344E"/>
    <w:rsid w:val="24E22302"/>
    <w:rsid w:val="2573676A"/>
    <w:rsid w:val="25754D46"/>
    <w:rsid w:val="25A733CE"/>
    <w:rsid w:val="25F668E7"/>
    <w:rsid w:val="26004140"/>
    <w:rsid w:val="2688315E"/>
    <w:rsid w:val="26A05178"/>
    <w:rsid w:val="26D321E7"/>
    <w:rsid w:val="26FC7678"/>
    <w:rsid w:val="274B7B88"/>
    <w:rsid w:val="27E7332F"/>
    <w:rsid w:val="27ED4661"/>
    <w:rsid w:val="28DC50F6"/>
    <w:rsid w:val="29134C3D"/>
    <w:rsid w:val="29361A72"/>
    <w:rsid w:val="296C7845"/>
    <w:rsid w:val="297273F5"/>
    <w:rsid w:val="298755CA"/>
    <w:rsid w:val="29A5717F"/>
    <w:rsid w:val="29FB60E5"/>
    <w:rsid w:val="2A304E0B"/>
    <w:rsid w:val="2A431EC4"/>
    <w:rsid w:val="2A63105E"/>
    <w:rsid w:val="2AF920D3"/>
    <w:rsid w:val="2B8332A8"/>
    <w:rsid w:val="2BBA5D19"/>
    <w:rsid w:val="2BDF2E66"/>
    <w:rsid w:val="2C332700"/>
    <w:rsid w:val="2C3C1447"/>
    <w:rsid w:val="2C802010"/>
    <w:rsid w:val="2C9A3FC9"/>
    <w:rsid w:val="2CE96DA4"/>
    <w:rsid w:val="2D952060"/>
    <w:rsid w:val="2DD42C86"/>
    <w:rsid w:val="2DE83DF9"/>
    <w:rsid w:val="2E1239CB"/>
    <w:rsid w:val="2E1A282E"/>
    <w:rsid w:val="2EC53098"/>
    <w:rsid w:val="2EDE3CB3"/>
    <w:rsid w:val="2F5B6667"/>
    <w:rsid w:val="2F6421FD"/>
    <w:rsid w:val="2F9C1B6B"/>
    <w:rsid w:val="2F9C6846"/>
    <w:rsid w:val="2FE822EF"/>
    <w:rsid w:val="30446379"/>
    <w:rsid w:val="305A7FF6"/>
    <w:rsid w:val="305B78C1"/>
    <w:rsid w:val="30B355D7"/>
    <w:rsid w:val="313F4E61"/>
    <w:rsid w:val="31C86E15"/>
    <w:rsid w:val="31F350E5"/>
    <w:rsid w:val="32035E58"/>
    <w:rsid w:val="320D4C1C"/>
    <w:rsid w:val="32693360"/>
    <w:rsid w:val="328F3110"/>
    <w:rsid w:val="33245137"/>
    <w:rsid w:val="33267F68"/>
    <w:rsid w:val="33321899"/>
    <w:rsid w:val="334E1956"/>
    <w:rsid w:val="335F7EAD"/>
    <w:rsid w:val="337D375A"/>
    <w:rsid w:val="3429292E"/>
    <w:rsid w:val="34AD1D71"/>
    <w:rsid w:val="34B43FA0"/>
    <w:rsid w:val="34DD38C9"/>
    <w:rsid w:val="34E473CD"/>
    <w:rsid w:val="34FD04E8"/>
    <w:rsid w:val="35482C22"/>
    <w:rsid w:val="35751A21"/>
    <w:rsid w:val="35960D33"/>
    <w:rsid w:val="359D360F"/>
    <w:rsid w:val="35AA4E8C"/>
    <w:rsid w:val="36073408"/>
    <w:rsid w:val="36501011"/>
    <w:rsid w:val="3672404C"/>
    <w:rsid w:val="367D059B"/>
    <w:rsid w:val="36824F3D"/>
    <w:rsid w:val="36875891"/>
    <w:rsid w:val="36C223A8"/>
    <w:rsid w:val="36F65570"/>
    <w:rsid w:val="36FC4832"/>
    <w:rsid w:val="3702789B"/>
    <w:rsid w:val="37112A42"/>
    <w:rsid w:val="3716745B"/>
    <w:rsid w:val="371C1A27"/>
    <w:rsid w:val="37E30317"/>
    <w:rsid w:val="385C59ED"/>
    <w:rsid w:val="3873650E"/>
    <w:rsid w:val="38B1217E"/>
    <w:rsid w:val="39040D3F"/>
    <w:rsid w:val="39E16CEE"/>
    <w:rsid w:val="39F05BD0"/>
    <w:rsid w:val="3A68663C"/>
    <w:rsid w:val="3AA24C1E"/>
    <w:rsid w:val="3B1F7DC1"/>
    <w:rsid w:val="3C127C1C"/>
    <w:rsid w:val="3C624336"/>
    <w:rsid w:val="3CC044E6"/>
    <w:rsid w:val="3CFD5476"/>
    <w:rsid w:val="3D650175"/>
    <w:rsid w:val="3D8B0D3D"/>
    <w:rsid w:val="3E28463B"/>
    <w:rsid w:val="3E2D5E0E"/>
    <w:rsid w:val="3E4C5CE0"/>
    <w:rsid w:val="3F694428"/>
    <w:rsid w:val="3FB16CEA"/>
    <w:rsid w:val="401651D5"/>
    <w:rsid w:val="404D2F81"/>
    <w:rsid w:val="4078484B"/>
    <w:rsid w:val="41420E02"/>
    <w:rsid w:val="41465C35"/>
    <w:rsid w:val="415C443F"/>
    <w:rsid w:val="418103CB"/>
    <w:rsid w:val="418D459E"/>
    <w:rsid w:val="41B01625"/>
    <w:rsid w:val="420214E4"/>
    <w:rsid w:val="421B78FC"/>
    <w:rsid w:val="4235217D"/>
    <w:rsid w:val="42757678"/>
    <w:rsid w:val="42A81AB4"/>
    <w:rsid w:val="42D633B0"/>
    <w:rsid w:val="42EB0A61"/>
    <w:rsid w:val="42FC17A2"/>
    <w:rsid w:val="430223AE"/>
    <w:rsid w:val="434106DF"/>
    <w:rsid w:val="439B51B1"/>
    <w:rsid w:val="44FA0719"/>
    <w:rsid w:val="45305D5F"/>
    <w:rsid w:val="457D7E98"/>
    <w:rsid w:val="458A3F31"/>
    <w:rsid w:val="45B370F2"/>
    <w:rsid w:val="45D76038"/>
    <w:rsid w:val="461E0F2B"/>
    <w:rsid w:val="46382D0C"/>
    <w:rsid w:val="463C40C8"/>
    <w:rsid w:val="463E4EE1"/>
    <w:rsid w:val="466948FE"/>
    <w:rsid w:val="467A00B6"/>
    <w:rsid w:val="469E3BDE"/>
    <w:rsid w:val="46CB0E81"/>
    <w:rsid w:val="47C04DA2"/>
    <w:rsid w:val="47F3496A"/>
    <w:rsid w:val="47F841AB"/>
    <w:rsid w:val="47FA2F52"/>
    <w:rsid w:val="48AD15DA"/>
    <w:rsid w:val="48BA2599"/>
    <w:rsid w:val="48C12397"/>
    <w:rsid w:val="48D34CAA"/>
    <w:rsid w:val="48E03ACB"/>
    <w:rsid w:val="48EF3969"/>
    <w:rsid w:val="492A5A18"/>
    <w:rsid w:val="498E40A5"/>
    <w:rsid w:val="499A7112"/>
    <w:rsid w:val="49BC0467"/>
    <w:rsid w:val="4A2D24A1"/>
    <w:rsid w:val="4A7D0953"/>
    <w:rsid w:val="4A836970"/>
    <w:rsid w:val="4A8F0DAA"/>
    <w:rsid w:val="4AD9682B"/>
    <w:rsid w:val="4AF05B47"/>
    <w:rsid w:val="4B0C5377"/>
    <w:rsid w:val="4B244298"/>
    <w:rsid w:val="4B9C59DF"/>
    <w:rsid w:val="4BB2117D"/>
    <w:rsid w:val="4BC66283"/>
    <w:rsid w:val="4BF06438"/>
    <w:rsid w:val="4C395429"/>
    <w:rsid w:val="4C3E54EF"/>
    <w:rsid w:val="4C412EB3"/>
    <w:rsid w:val="4C690AD8"/>
    <w:rsid w:val="4D1F1248"/>
    <w:rsid w:val="4D741B38"/>
    <w:rsid w:val="4DC80D45"/>
    <w:rsid w:val="4DE81677"/>
    <w:rsid w:val="4E481F98"/>
    <w:rsid w:val="4EAD18F2"/>
    <w:rsid w:val="4EC647F4"/>
    <w:rsid w:val="4F3F1750"/>
    <w:rsid w:val="4F811EAE"/>
    <w:rsid w:val="4F9615F7"/>
    <w:rsid w:val="4FC5018C"/>
    <w:rsid w:val="4FCE112C"/>
    <w:rsid w:val="4FCF0D06"/>
    <w:rsid w:val="505661BC"/>
    <w:rsid w:val="505E7FA8"/>
    <w:rsid w:val="50944D80"/>
    <w:rsid w:val="50C80892"/>
    <w:rsid w:val="51036B5D"/>
    <w:rsid w:val="51587EBA"/>
    <w:rsid w:val="517A7FCB"/>
    <w:rsid w:val="52A43246"/>
    <w:rsid w:val="52B41E54"/>
    <w:rsid w:val="537E16A6"/>
    <w:rsid w:val="537E5B41"/>
    <w:rsid w:val="5399577B"/>
    <w:rsid w:val="54086FC4"/>
    <w:rsid w:val="543530F9"/>
    <w:rsid w:val="54684803"/>
    <w:rsid w:val="54856242"/>
    <w:rsid w:val="548D405B"/>
    <w:rsid w:val="55116736"/>
    <w:rsid w:val="55400CF5"/>
    <w:rsid w:val="55BA63B2"/>
    <w:rsid w:val="55C37CB3"/>
    <w:rsid w:val="55C64284"/>
    <w:rsid w:val="55F84FE5"/>
    <w:rsid w:val="56354D73"/>
    <w:rsid w:val="56A45C56"/>
    <w:rsid w:val="56C1188F"/>
    <w:rsid w:val="57124DA0"/>
    <w:rsid w:val="57202034"/>
    <w:rsid w:val="574A649B"/>
    <w:rsid w:val="575A3CA9"/>
    <w:rsid w:val="57B64AB6"/>
    <w:rsid w:val="57FF4DA4"/>
    <w:rsid w:val="584C6ABE"/>
    <w:rsid w:val="58A72B18"/>
    <w:rsid w:val="58C852BB"/>
    <w:rsid w:val="58CD0826"/>
    <w:rsid w:val="58D352DD"/>
    <w:rsid w:val="591B00DD"/>
    <w:rsid w:val="59255651"/>
    <w:rsid w:val="59BA0825"/>
    <w:rsid w:val="59DF4AE7"/>
    <w:rsid w:val="5A652BA4"/>
    <w:rsid w:val="5A6D51CA"/>
    <w:rsid w:val="5A757FDF"/>
    <w:rsid w:val="5A7B55EF"/>
    <w:rsid w:val="5A9D6478"/>
    <w:rsid w:val="5AD60976"/>
    <w:rsid w:val="5B203712"/>
    <w:rsid w:val="5B680DDD"/>
    <w:rsid w:val="5BA87E55"/>
    <w:rsid w:val="5BF37585"/>
    <w:rsid w:val="5C614060"/>
    <w:rsid w:val="5C656764"/>
    <w:rsid w:val="5CB627EA"/>
    <w:rsid w:val="5CC9485E"/>
    <w:rsid w:val="5CE450F1"/>
    <w:rsid w:val="5CE906F6"/>
    <w:rsid w:val="5D09269A"/>
    <w:rsid w:val="5D2B45AF"/>
    <w:rsid w:val="5D364D06"/>
    <w:rsid w:val="5D871AAF"/>
    <w:rsid w:val="5DB67280"/>
    <w:rsid w:val="5E530B10"/>
    <w:rsid w:val="5E845388"/>
    <w:rsid w:val="5FD7652D"/>
    <w:rsid w:val="5FED2C27"/>
    <w:rsid w:val="60494126"/>
    <w:rsid w:val="60C90D98"/>
    <w:rsid w:val="60F60960"/>
    <w:rsid w:val="618963C6"/>
    <w:rsid w:val="61B535AB"/>
    <w:rsid w:val="61CD0CE9"/>
    <w:rsid w:val="62261657"/>
    <w:rsid w:val="623062CF"/>
    <w:rsid w:val="6265555C"/>
    <w:rsid w:val="62F90B01"/>
    <w:rsid w:val="631010CB"/>
    <w:rsid w:val="63467545"/>
    <w:rsid w:val="638B556C"/>
    <w:rsid w:val="63957B8D"/>
    <w:rsid w:val="64065D48"/>
    <w:rsid w:val="64643903"/>
    <w:rsid w:val="64726BDE"/>
    <w:rsid w:val="647D2537"/>
    <w:rsid w:val="64C62EF4"/>
    <w:rsid w:val="65713C67"/>
    <w:rsid w:val="65952A79"/>
    <w:rsid w:val="65992AD2"/>
    <w:rsid w:val="65BC69C1"/>
    <w:rsid w:val="65C07E8B"/>
    <w:rsid w:val="65ED4F24"/>
    <w:rsid w:val="66417316"/>
    <w:rsid w:val="6653474D"/>
    <w:rsid w:val="665A0AF1"/>
    <w:rsid w:val="668531FF"/>
    <w:rsid w:val="67397678"/>
    <w:rsid w:val="674B3814"/>
    <w:rsid w:val="6786022D"/>
    <w:rsid w:val="67C2353B"/>
    <w:rsid w:val="67D76462"/>
    <w:rsid w:val="682308E2"/>
    <w:rsid w:val="684A568B"/>
    <w:rsid w:val="684B6255"/>
    <w:rsid w:val="68815348"/>
    <w:rsid w:val="68BC57DE"/>
    <w:rsid w:val="699177AC"/>
    <w:rsid w:val="6A0B28AE"/>
    <w:rsid w:val="6A2B333C"/>
    <w:rsid w:val="6A2E2D4F"/>
    <w:rsid w:val="6A7E0100"/>
    <w:rsid w:val="6AD723D7"/>
    <w:rsid w:val="6AE52BCC"/>
    <w:rsid w:val="6AE820F8"/>
    <w:rsid w:val="6AEE1820"/>
    <w:rsid w:val="6B15265E"/>
    <w:rsid w:val="6B2856EF"/>
    <w:rsid w:val="6B5E2C3C"/>
    <w:rsid w:val="6BAD487F"/>
    <w:rsid w:val="6BB67989"/>
    <w:rsid w:val="6BBA45CA"/>
    <w:rsid w:val="6C061AC0"/>
    <w:rsid w:val="6C1317C7"/>
    <w:rsid w:val="6C211B4E"/>
    <w:rsid w:val="6C6A1240"/>
    <w:rsid w:val="6C9D098D"/>
    <w:rsid w:val="6CD7004A"/>
    <w:rsid w:val="6CD777B5"/>
    <w:rsid w:val="6CEE464F"/>
    <w:rsid w:val="6D096B5C"/>
    <w:rsid w:val="6D0F087C"/>
    <w:rsid w:val="6D2D48EE"/>
    <w:rsid w:val="6D535020"/>
    <w:rsid w:val="6D7142F4"/>
    <w:rsid w:val="6DA5318D"/>
    <w:rsid w:val="6DA542BA"/>
    <w:rsid w:val="6DDF5CD8"/>
    <w:rsid w:val="6DF9122F"/>
    <w:rsid w:val="6E3A4597"/>
    <w:rsid w:val="6E5E00F6"/>
    <w:rsid w:val="6EAF1D3D"/>
    <w:rsid w:val="6EE42557"/>
    <w:rsid w:val="6FA14A92"/>
    <w:rsid w:val="6FAC32DB"/>
    <w:rsid w:val="70705D1D"/>
    <w:rsid w:val="70BA484C"/>
    <w:rsid w:val="710172E3"/>
    <w:rsid w:val="710C437B"/>
    <w:rsid w:val="71142EC2"/>
    <w:rsid w:val="71841939"/>
    <w:rsid w:val="720C516C"/>
    <w:rsid w:val="724026F9"/>
    <w:rsid w:val="725C704A"/>
    <w:rsid w:val="72B772E4"/>
    <w:rsid w:val="72D6284A"/>
    <w:rsid w:val="72DF1E04"/>
    <w:rsid w:val="7304220A"/>
    <w:rsid w:val="737B7BF9"/>
    <w:rsid w:val="73964446"/>
    <w:rsid w:val="73F87364"/>
    <w:rsid w:val="748E35F8"/>
    <w:rsid w:val="7524359E"/>
    <w:rsid w:val="752E3D55"/>
    <w:rsid w:val="75781719"/>
    <w:rsid w:val="760B04AC"/>
    <w:rsid w:val="761D23F7"/>
    <w:rsid w:val="76A24345"/>
    <w:rsid w:val="76B564B9"/>
    <w:rsid w:val="76E8768C"/>
    <w:rsid w:val="77316BBD"/>
    <w:rsid w:val="77547846"/>
    <w:rsid w:val="77B82200"/>
    <w:rsid w:val="77E21758"/>
    <w:rsid w:val="77EE1F3C"/>
    <w:rsid w:val="78033402"/>
    <w:rsid w:val="782E37C4"/>
    <w:rsid w:val="782F5168"/>
    <w:rsid w:val="783E008E"/>
    <w:rsid w:val="78506BF7"/>
    <w:rsid w:val="788E6EDB"/>
    <w:rsid w:val="79563295"/>
    <w:rsid w:val="7973592E"/>
    <w:rsid w:val="79A93EF6"/>
    <w:rsid w:val="7A075E2C"/>
    <w:rsid w:val="7A855DBB"/>
    <w:rsid w:val="7AA36DAC"/>
    <w:rsid w:val="7ACB74DA"/>
    <w:rsid w:val="7ACF4D60"/>
    <w:rsid w:val="7AF81220"/>
    <w:rsid w:val="7B1409C4"/>
    <w:rsid w:val="7B8B6493"/>
    <w:rsid w:val="7BD65A73"/>
    <w:rsid w:val="7BD7037E"/>
    <w:rsid w:val="7BF37898"/>
    <w:rsid w:val="7C3F302E"/>
    <w:rsid w:val="7C8F1871"/>
    <w:rsid w:val="7CA23F7D"/>
    <w:rsid w:val="7CF3369F"/>
    <w:rsid w:val="7D830F32"/>
    <w:rsid w:val="7DF60CE9"/>
    <w:rsid w:val="7DF93E1A"/>
    <w:rsid w:val="7E30650A"/>
    <w:rsid w:val="7EDA13D2"/>
    <w:rsid w:val="7F0306F0"/>
    <w:rsid w:val="7F035751"/>
    <w:rsid w:val="7F06536D"/>
    <w:rsid w:val="7F0E3BD3"/>
    <w:rsid w:val="7F180178"/>
    <w:rsid w:val="7F424B5C"/>
    <w:rsid w:val="7F5640F3"/>
    <w:rsid w:val="7F746CA9"/>
    <w:rsid w:val="7F7F66B9"/>
    <w:rsid w:val="7FC400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qFormat="1" w:uiPriority="99"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jc w:val="center"/>
      <w:outlineLvl w:val="0"/>
    </w:pPr>
    <w:rPr>
      <w:b/>
      <w:bCs/>
      <w:kern w:val="44"/>
      <w:sz w:val="44"/>
      <w:szCs w:val="44"/>
    </w:rPr>
  </w:style>
  <w:style w:type="paragraph" w:styleId="4">
    <w:name w:val="heading 2"/>
    <w:basedOn w:val="1"/>
    <w:next w:val="1"/>
    <w:semiHidden/>
    <w:unhideWhenUsed/>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semiHidden/>
    <w:unhideWhenUsed/>
    <w:qFormat/>
    <w:uiPriority w:val="0"/>
    <w:pPr>
      <w:keepNext/>
      <w:keepLines/>
      <w:spacing w:before="260" w:after="260" w:line="415" w:lineRule="auto"/>
      <w:outlineLvl w:val="2"/>
    </w:pPr>
    <w:rPr>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Indent 3"/>
    <w:basedOn w:val="1"/>
    <w:unhideWhenUsed/>
    <w:qFormat/>
    <w:uiPriority w:val="99"/>
    <w:pPr>
      <w:spacing w:after="120"/>
      <w:ind w:left="420" w:leftChars="200"/>
    </w:pPr>
    <w:rPr>
      <w:sz w:val="16"/>
      <w:szCs w:val="16"/>
    </w:rPr>
  </w:style>
  <w:style w:type="paragraph" w:styleId="6">
    <w:name w:val="caption"/>
    <w:basedOn w:val="1"/>
    <w:next w:val="1"/>
    <w:semiHidden/>
    <w:unhideWhenUsed/>
    <w:qFormat/>
    <w:uiPriority w:val="0"/>
    <w:pPr>
      <w:spacing w:before="152" w:after="160"/>
    </w:pPr>
    <w:rPr>
      <w:rFonts w:ascii="Arial" w:hAnsi="Arial" w:eastAsia="黑体" w:cs="Arial"/>
      <w:sz w:val="20"/>
      <w:szCs w:val="20"/>
    </w:rPr>
  </w:style>
  <w:style w:type="paragraph" w:styleId="7">
    <w:name w:val="toa heading"/>
    <w:basedOn w:val="1"/>
    <w:next w:val="1"/>
    <w:qFormat/>
    <w:uiPriority w:val="0"/>
    <w:pPr>
      <w:spacing w:before="120"/>
    </w:pPr>
    <w:rPr>
      <w:rFonts w:ascii="Arial" w:hAnsi="Arial"/>
      <w:sz w:val="24"/>
      <w:szCs w:val="20"/>
    </w:rPr>
  </w:style>
  <w:style w:type="paragraph" w:styleId="8">
    <w:name w:val="annotation text"/>
    <w:basedOn w:val="1"/>
    <w:qFormat/>
    <w:uiPriority w:val="0"/>
    <w:pPr>
      <w:jc w:val="left"/>
    </w:pPr>
  </w:style>
  <w:style w:type="paragraph" w:styleId="9">
    <w:name w:val="Body Text"/>
    <w:basedOn w:val="1"/>
    <w:next w:val="1"/>
    <w:qFormat/>
    <w:uiPriority w:val="0"/>
    <w:pPr>
      <w:spacing w:after="120"/>
    </w:pPr>
    <w:rPr>
      <w:rFonts w:ascii="宋体" w:hAnsi="宋体"/>
      <w:kern w:val="0"/>
      <w:sz w:val="20"/>
    </w:rPr>
  </w:style>
  <w:style w:type="paragraph" w:styleId="10">
    <w:name w:val="Body Text Indent"/>
    <w:basedOn w:val="1"/>
    <w:qFormat/>
    <w:uiPriority w:val="0"/>
    <w:pPr>
      <w:spacing w:after="120"/>
      <w:ind w:left="420" w:leftChars="200"/>
    </w:pPr>
  </w:style>
  <w:style w:type="paragraph" w:styleId="11">
    <w:name w:val="List 2"/>
    <w:basedOn w:val="1"/>
    <w:qFormat/>
    <w:uiPriority w:val="0"/>
    <w:pPr>
      <w:ind w:left="100" w:leftChars="200" w:hanging="200" w:hangingChars="200"/>
    </w:pPr>
  </w:style>
  <w:style w:type="paragraph" w:styleId="12">
    <w:name w:val="Plain Text"/>
    <w:basedOn w:val="1"/>
    <w:qFormat/>
    <w:uiPriority w:val="0"/>
    <w:rPr>
      <w:rFonts w:ascii="宋体" w:hAnsi="Courier New" w:eastAsia="宋体"/>
    </w:rPr>
  </w:style>
  <w:style w:type="paragraph" w:styleId="13">
    <w:name w:val="Body Text Indent 2"/>
    <w:basedOn w:val="1"/>
    <w:qFormat/>
    <w:uiPriority w:val="0"/>
    <w:pPr>
      <w:spacing w:after="120" w:line="480" w:lineRule="auto"/>
      <w:ind w:left="420" w:leftChars="200"/>
    </w:pPr>
    <w:rPr>
      <w:kern w:val="0"/>
      <w:sz w:val="20"/>
    </w:rPr>
  </w:style>
  <w:style w:type="paragraph" w:styleId="14">
    <w:name w:val="footer"/>
    <w:basedOn w:val="1"/>
    <w:qFormat/>
    <w:uiPriority w:val="0"/>
    <w:pPr>
      <w:tabs>
        <w:tab w:val="center" w:pos="4153"/>
        <w:tab w:val="right" w:pos="8306"/>
      </w:tabs>
      <w:snapToGrid w:val="0"/>
      <w:jc w:val="left"/>
    </w:pPr>
    <w:rPr>
      <w:rFonts w:ascii="宋体" w:hAnsi="宋体"/>
      <w:kern w:val="0"/>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rFonts w:ascii="宋体" w:hAnsi="宋体"/>
      <w:kern w:val="0"/>
      <w:sz w:val="18"/>
      <w:szCs w:val="18"/>
    </w:rPr>
  </w:style>
  <w:style w:type="paragraph" w:styleId="16">
    <w:name w:val="toc 1"/>
    <w:basedOn w:val="1"/>
    <w:next w:val="1"/>
    <w:qFormat/>
    <w:uiPriority w:val="0"/>
    <w:pPr>
      <w:spacing w:line="360" w:lineRule="auto"/>
    </w:pPr>
    <w:rPr>
      <w:sz w:val="24"/>
    </w:rPr>
  </w:style>
  <w:style w:type="paragraph" w:styleId="17">
    <w:name w:val="toc 2"/>
    <w:basedOn w:val="1"/>
    <w:next w:val="1"/>
    <w:qFormat/>
    <w:uiPriority w:val="0"/>
    <w:pPr>
      <w:ind w:left="420" w:leftChars="200"/>
    </w:pPr>
  </w:style>
  <w:style w:type="paragraph" w:styleId="18">
    <w:name w:val="Body Text 2"/>
    <w:basedOn w:val="1"/>
    <w:qFormat/>
    <w:uiPriority w:val="99"/>
    <w:rPr>
      <w:rFonts w:ascii="??" w:hAnsi="??"/>
      <w:sz w:val="28"/>
      <w:szCs w:val="28"/>
    </w:rPr>
  </w:style>
  <w:style w:type="paragraph" w:styleId="19">
    <w:name w:val="Normal (Web)"/>
    <w:basedOn w:val="1"/>
    <w:qFormat/>
    <w:uiPriority w:val="0"/>
    <w:pPr>
      <w:widowControl/>
      <w:spacing w:before="100" w:beforeAutospacing="1" w:after="100" w:afterAutospacing="1"/>
      <w:jc w:val="left"/>
    </w:pPr>
    <w:rPr>
      <w:rFonts w:ascii="宋体" w:hAnsi="宋体"/>
      <w:kern w:val="0"/>
      <w:sz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qFormat/>
    <w:uiPriority w:val="0"/>
  </w:style>
  <w:style w:type="character" w:styleId="24">
    <w:name w:val="Hyperlink"/>
    <w:qFormat/>
    <w:uiPriority w:val="0"/>
    <w:rPr>
      <w:color w:val="0000FF"/>
      <w:u w:val="single"/>
    </w:rPr>
  </w:style>
  <w:style w:type="paragraph" w:customStyle="1" w:styleId="25">
    <w:name w:val="首行缩进"/>
    <w:basedOn w:val="1"/>
    <w:qFormat/>
    <w:uiPriority w:val="0"/>
    <w:pPr>
      <w:spacing w:line="360" w:lineRule="auto"/>
      <w:ind w:firstLine="480" w:firstLineChars="200"/>
    </w:pPr>
    <w:rPr>
      <w:rFonts w:ascii="宋体" w:hAnsi="宋体" w:cs="宋体"/>
      <w:kern w:val="0"/>
      <w:sz w:val="24"/>
    </w:rPr>
  </w:style>
  <w:style w:type="paragraph" w:styleId="26">
    <w:name w:val="List Paragraph"/>
    <w:basedOn w:val="1"/>
    <w:qFormat/>
    <w:uiPriority w:val="99"/>
    <w:pPr>
      <w:ind w:firstLine="420" w:firstLineChars="200"/>
    </w:pPr>
  </w:style>
  <w:style w:type="paragraph" w:customStyle="1" w:styleId="27">
    <w:name w:val="List 31"/>
    <w:basedOn w:val="1"/>
    <w:qFormat/>
    <w:uiPriority w:val="0"/>
    <w:pPr>
      <w:ind w:left="100" w:leftChars="400" w:hanging="200" w:hangingChars="200"/>
    </w:pPr>
    <w:rPr>
      <w:rFonts w:ascii="Calibri" w:hAnsi="Calibri" w:eastAsia="宋体" w:cs="Times New Roman"/>
      <w:szCs w:val="20"/>
    </w:rPr>
  </w:style>
  <w:style w:type="paragraph" w:customStyle="1" w:styleId="28">
    <w:name w:val="Body Text Indent 31"/>
    <w:basedOn w:val="1"/>
    <w:qFormat/>
    <w:uiPriority w:val="0"/>
    <w:pPr>
      <w:spacing w:line="360" w:lineRule="auto"/>
      <w:ind w:firstLine="480" w:firstLineChars="200"/>
    </w:pPr>
    <w:rPr>
      <w:rFonts w:hint="eastAsia" w:ascii="宋体" w:hAnsi="Calibri" w:eastAsia="宋体" w:cs="Times New Roman"/>
      <w:sz w:val="24"/>
      <w:szCs w:val="20"/>
    </w:rPr>
  </w:style>
  <w:style w:type="paragraph" w:customStyle="1" w:styleId="29">
    <w:name w:val="列出段落1"/>
    <w:basedOn w:val="1"/>
    <w:qFormat/>
    <w:uiPriority w:val="99"/>
    <w:pPr>
      <w:ind w:firstLine="420" w:firstLineChars="200"/>
    </w:pPr>
    <w:rPr>
      <w:rFonts w:ascii="Calibri" w:hAnsi="Calibri" w:eastAsia="宋体" w:cs="Times New Roman"/>
      <w:szCs w:val="22"/>
    </w:rPr>
  </w:style>
  <w:style w:type="paragraph" w:customStyle="1" w:styleId="30">
    <w:name w:val="列出段落11"/>
    <w:basedOn w:val="1"/>
    <w:qFormat/>
    <w:uiPriority w:val="34"/>
    <w:pPr>
      <w:ind w:firstLine="420" w:firstLineChars="200"/>
    </w:pPr>
    <w:rPr>
      <w:rFonts w:ascii="Calibri" w:hAnsi="Calibri"/>
      <w:szCs w:val="22"/>
    </w:rPr>
  </w:style>
  <w:style w:type="paragraph" w:customStyle="1" w:styleId="31">
    <w:name w:val="TOA Heading1"/>
    <w:basedOn w:val="1"/>
    <w:next w:val="1"/>
    <w:qFormat/>
    <w:uiPriority w:val="0"/>
    <w:pPr>
      <w:spacing w:before="120"/>
    </w:pPr>
    <w:rPr>
      <w:rFonts w:ascii="Arial" w:hAnsi="Arial" w:eastAsia="宋体" w:cs="Times New Roman"/>
      <w:sz w:val="24"/>
      <w:szCs w:val="20"/>
    </w:rPr>
  </w:style>
  <w:style w:type="paragraph" w:customStyle="1" w:styleId="32">
    <w:name w:val="Body Text Indent1"/>
    <w:basedOn w:val="1"/>
    <w:qFormat/>
    <w:uiPriority w:val="0"/>
    <w:pPr>
      <w:ind w:firstLine="560" w:firstLineChars="200"/>
      <w:jc w:val="left"/>
    </w:pPr>
    <w:rPr>
      <w:rFonts w:hint="eastAsia" w:ascii="宋体" w:hAnsi="Calibri" w:eastAsia="宋体" w:cs="Times New Roman"/>
      <w:sz w:val="28"/>
      <w:szCs w:val="20"/>
    </w:rPr>
  </w:style>
  <w:style w:type="paragraph" w:customStyle="1" w:styleId="33">
    <w:name w:val="列出段落12"/>
    <w:basedOn w:val="1"/>
    <w:qFormat/>
    <w:uiPriority w:val="0"/>
    <w:pPr>
      <w:ind w:firstLine="420" w:firstLineChars="200"/>
    </w:pPr>
    <w:rPr>
      <w:rFonts w:ascii="Calibri" w:hAnsi="Calibri"/>
      <w:szCs w:val="22"/>
    </w:rPr>
  </w:style>
  <w:style w:type="paragraph" w:customStyle="1" w:styleId="34">
    <w:name w:val="彩色列表 - 强调文字颜色 11"/>
    <w:basedOn w:val="1"/>
    <w:qFormat/>
    <w:uiPriority w:val="0"/>
    <w:pPr>
      <w:ind w:firstLine="420" w:firstLineChars="200"/>
    </w:pPr>
    <w:rPr>
      <w:rFonts w:ascii="Calibri" w:hAnsi="Calibri"/>
      <w:szCs w:val="22"/>
    </w:rPr>
  </w:style>
  <w:style w:type="paragraph" w:customStyle="1" w:styleId="35">
    <w:name w:val="标题一"/>
    <w:basedOn w:val="3"/>
    <w:qFormat/>
    <w:uiPriority w:val="0"/>
    <w:rPr>
      <w:rFonts w:ascii="宋体" w:hAnsi="宋体" w:eastAsia="宋体"/>
      <w:sz w:val="36"/>
    </w:rPr>
  </w:style>
  <w:style w:type="paragraph" w:customStyle="1" w:styleId="36">
    <w:name w:val="正文1"/>
    <w:basedOn w:val="1"/>
    <w:qFormat/>
    <w:uiPriority w:val="0"/>
    <w:rPr>
      <w:szCs w:val="20"/>
    </w:rPr>
  </w:style>
  <w:style w:type="paragraph" w:customStyle="1" w:styleId="37">
    <w:name w:val="样式9 Char"/>
    <w:basedOn w:val="1"/>
    <w:qFormat/>
    <w:uiPriority w:val="0"/>
    <w:pPr>
      <w:spacing w:line="440" w:lineRule="exact"/>
      <w:ind w:firstLine="200" w:firstLineChars="200"/>
    </w:pPr>
    <w:rPr>
      <w:spacing w:val="6"/>
      <w:sz w:val="24"/>
    </w:rPr>
  </w:style>
  <w:style w:type="paragraph" w:customStyle="1" w:styleId="38">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39">
    <w:name w:val="样式3"/>
    <w:basedOn w:val="1"/>
    <w:qFormat/>
    <w:uiPriority w:val="0"/>
    <w:pPr>
      <w:spacing w:line="480" w:lineRule="exact"/>
      <w:jc w:val="center"/>
    </w:pPr>
    <w:rPr>
      <w:rFonts w:ascii="Arial" w:hAnsi="Arial" w:eastAsia="黑体"/>
      <w:spacing w:val="6"/>
      <w:sz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1</Pages>
  <Words>2805</Words>
  <Characters>15990</Characters>
  <Lines>133</Lines>
  <Paragraphs>37</Paragraphs>
  <TotalTime>6</TotalTime>
  <ScaleCrop>false</ScaleCrop>
  <LinksUpToDate>false</LinksUpToDate>
  <CharactersWithSpaces>18758</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2018-03-29T02:06:00Z</dcterms:created>
  <dc:creator>Administrator</dc:creator>
  <cp:lastModifiedBy>Administrator</cp:lastModifiedBy>
  <dcterms:modified xsi:type="dcterms:W3CDTF">2019-12-05T07:53:07Z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