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济宁医学院3500型遗传分析仪维保服务采购项目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单一来源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cs="宋体"/>
          <w:sz w:val="24"/>
          <w:szCs w:val="24"/>
          <w:lang w:eastAsia="zh-CN"/>
        </w:rPr>
        <w:t>济宁医学院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王老师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0537-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3616133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济宁医学院3500型遗传分析仪维保服务采购项目</w:t>
      </w:r>
    </w:p>
    <w:p>
      <w:pPr>
        <w:pStyle w:val="2"/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项目编号：JYKL-2021-0114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三、拟采购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3500型遗传分析仪维保服务采购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四、预算金额：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万元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五、采用单一来源采购方式的原因及相关说明：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因济宁医学院目前使用的3500型遗传分析仪为高端精密仪器，为保证实验数据的准确性，需定期进行维保，目前仅北京拓普塞斯生物技术有限公司可提供此项维保服务。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eastAsia="宋体"/>
          <w:lang w:val="en-US" w:eastAsia="zh-CN"/>
        </w:rPr>
        <w:t>本项目满足“《中华人民共和国政府采购法》第三十一条：只能从唯一供应商处采购。”该条要求。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六、拟定的唯一供应商名称及其地址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北京拓普塞斯生物技术有限公司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北京市北京经济技术开发区地盛中路3号1幢B座5层501-16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公示期限：202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25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至 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1664C3"/>
    <w:multiLevelType w:val="singleLevel"/>
    <w:tmpl w:val="D61664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C3EF0"/>
    <w:rsid w:val="11F24B4E"/>
    <w:rsid w:val="25FB3BDA"/>
    <w:rsid w:val="2B766C6A"/>
    <w:rsid w:val="346C3EF0"/>
    <w:rsid w:val="56C838C1"/>
    <w:rsid w:val="578A3C2B"/>
    <w:rsid w:val="614E66E5"/>
    <w:rsid w:val="69545832"/>
    <w:rsid w:val="6D2B4586"/>
    <w:rsid w:val="7B9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  <w:style w:type="paragraph" w:styleId="3">
    <w:name w:val="Normal Indent"/>
    <w:qFormat/>
    <w:uiPriority w:val="0"/>
    <w:pPr>
      <w:widowControl w:val="0"/>
      <w:spacing w:before="120" w:beforeLines="0" w:after="120" w:afterLines="0" w:line="460" w:lineRule="exact"/>
      <w:ind w:firstLine="420"/>
      <w:jc w:val="both"/>
    </w:pPr>
    <w:rPr>
      <w:rFonts w:ascii="仿宋_GB2312" w:hAnsi="Calibri" w:eastAsia="仿宋_GB2312" w:cs="Times New Roman"/>
      <w:kern w:val="2"/>
      <w:sz w:val="28"/>
      <w:szCs w:val="20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2021-01-13T08:42:00Z</dcterms:created>
  <dc:creator>Administrator</dc:creator>
  <cp:lastModifiedBy>孙越</cp:lastModifiedBy>
  <dcterms:modified xsi:type="dcterms:W3CDTF">2021-01-26T00:53:58Z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