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39" w:leftChars="-114" w:firstLine="40" w:firstLineChars="10"/>
        <w:jc w:val="center"/>
        <w:textAlignment w:val="baseline"/>
        <w:rPr>
          <w:rStyle w:val="10"/>
          <w:rFonts w:hint="default" w:ascii="宋体" w:hAnsi="宋体" w:eastAsia="黑体"/>
          <w:b/>
          <w:color w:val="auto"/>
          <w:sz w:val="40"/>
          <w:szCs w:val="40"/>
          <w:highlight w:val="none"/>
          <w:lang w:val="en-US" w:eastAsia="zh-CN"/>
        </w:rPr>
      </w:pPr>
      <w:r>
        <w:rPr>
          <w:rStyle w:val="10"/>
          <w:rFonts w:hint="eastAsia" w:ascii="宋体" w:hAnsi="宋体" w:eastAsia="黑体"/>
          <w:b/>
          <w:color w:val="auto"/>
          <w:sz w:val="40"/>
          <w:szCs w:val="40"/>
          <w:highlight w:val="none"/>
        </w:rPr>
        <w:t>济宁医学院PCR实验维保服务采购项目</w:t>
      </w:r>
    </w:p>
    <w:p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bookmarkStart w:id="1" w:name="_GoBack"/>
      <w:bookmarkEnd w:id="1"/>
      <w:bookmarkStart w:id="0" w:name="_Toc2282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  <w:bookmarkEnd w:id="0"/>
    </w:p>
    <w:p>
      <w:pPr>
        <w:pStyle w:val="4"/>
        <w:numPr>
          <w:ilvl w:val="0"/>
          <w:numId w:val="0"/>
        </w:numPr>
        <w:rPr>
          <w:sz w:val="2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0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  <w:lang w:eastAsia="zh-CN"/>
        </w:rPr>
        <w:t xml:space="preserve">  济宁医学院PCR实验维保服务采购项目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10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0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10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0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  <w:lang w:eastAsia="zh-CN"/>
        </w:rPr>
        <w:t xml:space="preserve"> 济宁医学院PCR实验维保服务采购项目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0"/>
          <w:rFonts w:hint="default" w:ascii="仿宋" w:hAnsi="仿宋" w:eastAsia="仿宋"/>
          <w:color w:val="auto"/>
          <w:szCs w:val="24"/>
          <w:highlight w:val="yellow"/>
          <w:lang w:val="en-US" w:eastAsia="zh-CN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JYKL-2021-0708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0"/>
          <w:rFonts w:ascii="仿宋" w:hAnsi="仿宋" w:eastAsia="仿宋"/>
          <w:color w:val="auto"/>
          <w:szCs w:val="24"/>
          <w:highlight w:val="none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10"/>
          <w:rFonts w:hint="eastAsia" w:ascii="仿宋" w:hAnsi="仿宋" w:eastAsia="仿宋"/>
          <w:color w:val="auto"/>
          <w:highlight w:val="none"/>
          <w:lang w:eastAsia="zh-CN"/>
        </w:rPr>
        <w:t xml:space="preserve"> 济宁医学院PCR实验维保服务采购项目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10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0"/>
          <w:rFonts w:ascii="仿宋" w:hAnsi="仿宋" w:eastAsia="仿宋"/>
          <w:color w:val="auto"/>
          <w:szCs w:val="24"/>
          <w:highlight w:val="none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0"/>
          <w:rFonts w:ascii="仿宋" w:hAnsi="仿宋" w:eastAsia="仿宋"/>
          <w:color w:val="auto"/>
          <w:szCs w:val="24"/>
          <w:highlight w:val="none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0"/>
          <w:rFonts w:ascii="仿宋" w:hAnsi="仿宋" w:eastAsia="仿宋"/>
          <w:color w:val="auto"/>
          <w:szCs w:val="24"/>
          <w:highlight w:val="none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0"/>
          <w:rFonts w:ascii="仿宋" w:hAnsi="仿宋" w:eastAsia="仿宋"/>
          <w:color w:val="auto"/>
          <w:szCs w:val="24"/>
          <w:highlight w:val="none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0"/>
          <w:rFonts w:hint="default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15.00万元，服务期2年。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0"/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Style w:val="10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0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</w:rPr>
        <w:t>2、具备有效的营业执照、税务登记证、组织机构代码证(或三证合一的营业执照)；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0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10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0"/>
          <w:rFonts w:eastAsia="仿宋"/>
          <w:color w:val="auto"/>
          <w:sz w:val="24"/>
          <w:szCs w:val="20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10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报名方式：供应商将营业执照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00--08:30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0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0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0357-2616518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015E4"/>
    <w:rsid w:val="6C80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paragraph" w:customStyle="1" w:styleId="9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0">
    <w:name w:val="NormalCharacter"/>
    <w:qFormat/>
    <w:uiPriority w:val="0"/>
  </w:style>
  <w:style w:type="character" w:customStyle="1" w:styleId="11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2021-07-22T08:41:00Z</dcterms:created>
  <dc:creator>段京</dc:creator>
  <cp:lastModifiedBy>段京</cp:lastModifiedBy>
  <dcterms:modified xsi:type="dcterms:W3CDTF">2021-07-22T08:42:59Z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856A6A36D37243C4AE59BD9B227B32F1</vt:lpwstr>
  </property>
</Properties>
</file>