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A314" w14:textId="2130E7F3" w:rsidR="00D90FAD" w:rsidRPr="00D90FAD" w:rsidRDefault="00D90FAD" w:rsidP="00D90FAD">
      <w:pPr>
        <w:rPr>
          <w:rFonts w:ascii="黑体" w:eastAsia="黑体" w:hAnsi="黑体" w:cs="黑体"/>
          <w:b/>
          <w:sz w:val="32"/>
          <w:szCs w:val="32"/>
        </w:rPr>
      </w:pPr>
      <w:r w:rsidRPr="00D90FAD">
        <w:rPr>
          <w:rFonts w:ascii="黑体" w:eastAsia="黑体" w:hAnsi="黑体" w:cs="黑体" w:hint="eastAsia"/>
          <w:sz w:val="32"/>
          <w:szCs w:val="32"/>
        </w:rPr>
        <w:t>附件</w:t>
      </w:r>
      <w:r w:rsidR="00470602">
        <w:rPr>
          <w:rFonts w:ascii="黑体" w:eastAsia="黑体" w:hAnsi="黑体" w:cs="黑体" w:hint="eastAsia"/>
          <w:sz w:val="32"/>
          <w:szCs w:val="32"/>
        </w:rPr>
        <w:t>4</w:t>
      </w:r>
    </w:p>
    <w:p w14:paraId="2FD7082A" w14:textId="77777777" w:rsidR="00D90FAD" w:rsidRPr="00D90FAD" w:rsidRDefault="00D90FAD" w:rsidP="00D90FAD">
      <w:pPr>
        <w:jc w:val="center"/>
        <w:rPr>
          <w:rFonts w:ascii="方正小标宋简体" w:eastAsia="方正小标宋简体" w:hAnsi="方正小标宋简体" w:cs="方正小标宋简体"/>
          <w:bCs/>
          <w:sz w:val="44"/>
          <w:szCs w:val="44"/>
        </w:rPr>
      </w:pPr>
      <w:r w:rsidRPr="00D90FAD">
        <w:rPr>
          <w:rFonts w:ascii="方正小标宋简体" w:eastAsia="方正小标宋简体" w:hAnsi="方正小标宋简体" w:cs="方正小标宋简体" w:hint="eastAsia"/>
          <w:bCs/>
          <w:sz w:val="44"/>
          <w:szCs w:val="44"/>
        </w:rPr>
        <w:t>国有资产管理绩效评价指标（试行）</w:t>
      </w:r>
    </w:p>
    <w:p w14:paraId="6760FB30" w14:textId="77777777" w:rsidR="00D90FAD" w:rsidRPr="00D90FAD" w:rsidRDefault="00D90FAD" w:rsidP="00D90FAD">
      <w:pPr>
        <w:ind w:firstLineChars="196" w:firstLine="413"/>
        <w:rPr>
          <w:rFonts w:ascii="Calibri" w:eastAsia="宋体" w:hAnsi="Calibri" w:cs="Times New Roman"/>
          <w:b/>
          <w:szCs w:val="24"/>
        </w:rPr>
      </w:pPr>
      <w:r w:rsidRPr="00D90FAD">
        <w:rPr>
          <w:rFonts w:ascii="Calibri" w:eastAsia="宋体" w:hAnsi="Calibri" w:cs="Times New Roman" w:hint="eastAsia"/>
          <w:b/>
          <w:szCs w:val="24"/>
        </w:rPr>
        <w:t>部门（单位）：</w:t>
      </w:r>
    </w:p>
    <w:tbl>
      <w:tblPr>
        <w:tblW w:w="1304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275"/>
        <w:gridCol w:w="709"/>
        <w:gridCol w:w="3402"/>
        <w:gridCol w:w="3544"/>
        <w:gridCol w:w="2268"/>
        <w:gridCol w:w="709"/>
      </w:tblGrid>
      <w:tr w:rsidR="00D90FAD" w:rsidRPr="00D90FAD" w14:paraId="31B87539" w14:textId="77777777" w:rsidTr="00175819">
        <w:trPr>
          <w:trHeight w:val="405"/>
        </w:trPr>
        <w:tc>
          <w:tcPr>
            <w:tcW w:w="1134" w:type="dxa"/>
            <w:tcBorders>
              <w:right w:val="single" w:sz="4" w:space="0" w:color="auto"/>
            </w:tcBorders>
            <w:vAlign w:val="center"/>
          </w:tcPr>
          <w:p w14:paraId="0E9148AB"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一级指标</w:t>
            </w:r>
          </w:p>
        </w:tc>
        <w:tc>
          <w:tcPr>
            <w:tcW w:w="1275" w:type="dxa"/>
            <w:tcBorders>
              <w:left w:val="single" w:sz="4" w:space="0" w:color="auto"/>
            </w:tcBorders>
            <w:vAlign w:val="center"/>
          </w:tcPr>
          <w:p w14:paraId="769D6EA2"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二级指标</w:t>
            </w:r>
          </w:p>
        </w:tc>
        <w:tc>
          <w:tcPr>
            <w:tcW w:w="709" w:type="dxa"/>
            <w:vAlign w:val="center"/>
          </w:tcPr>
          <w:p w14:paraId="10AA24A1"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分值</w:t>
            </w:r>
          </w:p>
        </w:tc>
        <w:tc>
          <w:tcPr>
            <w:tcW w:w="3402" w:type="dxa"/>
            <w:vAlign w:val="center"/>
          </w:tcPr>
          <w:p w14:paraId="6A4BFDFE"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指标解释与评价标准</w:t>
            </w:r>
          </w:p>
        </w:tc>
        <w:tc>
          <w:tcPr>
            <w:tcW w:w="3544" w:type="dxa"/>
            <w:vAlign w:val="center"/>
          </w:tcPr>
          <w:p w14:paraId="005BDA62"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量化评分细则</w:t>
            </w:r>
          </w:p>
        </w:tc>
        <w:tc>
          <w:tcPr>
            <w:tcW w:w="2268" w:type="dxa"/>
            <w:vAlign w:val="center"/>
          </w:tcPr>
          <w:p w14:paraId="5ED5A4A9"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评价依据</w:t>
            </w:r>
          </w:p>
        </w:tc>
        <w:tc>
          <w:tcPr>
            <w:tcW w:w="709" w:type="dxa"/>
            <w:tcBorders>
              <w:right w:val="single" w:sz="4" w:space="0" w:color="auto"/>
            </w:tcBorders>
            <w:vAlign w:val="center"/>
          </w:tcPr>
          <w:p w14:paraId="451AD70A"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得分</w:t>
            </w:r>
          </w:p>
        </w:tc>
      </w:tr>
      <w:tr w:rsidR="00D90FAD" w:rsidRPr="00D90FAD" w14:paraId="06B36588" w14:textId="77777777" w:rsidTr="00D90FAD">
        <w:trPr>
          <w:trHeight w:val="1386"/>
        </w:trPr>
        <w:tc>
          <w:tcPr>
            <w:tcW w:w="1134" w:type="dxa"/>
            <w:vMerge w:val="restart"/>
            <w:tcBorders>
              <w:right w:val="single" w:sz="4" w:space="0" w:color="auto"/>
            </w:tcBorders>
            <w:vAlign w:val="center"/>
          </w:tcPr>
          <w:p w14:paraId="0C75D657" w14:textId="77777777" w:rsidR="00D90FAD" w:rsidRPr="00D90FAD" w:rsidRDefault="00D90FAD" w:rsidP="00D90FAD">
            <w:pPr>
              <w:jc w:val="center"/>
              <w:rPr>
                <w:rFonts w:ascii="宋体" w:eastAsia="宋体" w:hAnsi="宋体" w:cs="宋体"/>
                <w:szCs w:val="24"/>
              </w:rPr>
            </w:pPr>
          </w:p>
          <w:p w14:paraId="1FAC77C9"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管理体制</w:t>
            </w:r>
          </w:p>
          <w:p w14:paraId="367C2BFE"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（10分）</w:t>
            </w:r>
          </w:p>
        </w:tc>
        <w:tc>
          <w:tcPr>
            <w:tcW w:w="1275" w:type="dxa"/>
            <w:tcBorders>
              <w:left w:val="single" w:sz="4" w:space="0" w:color="auto"/>
            </w:tcBorders>
            <w:vAlign w:val="center"/>
          </w:tcPr>
          <w:p w14:paraId="54B07E2C"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管理职责</w:t>
            </w:r>
          </w:p>
        </w:tc>
        <w:tc>
          <w:tcPr>
            <w:tcW w:w="709" w:type="dxa"/>
            <w:vAlign w:val="center"/>
          </w:tcPr>
          <w:p w14:paraId="11E54217"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4</w:t>
            </w:r>
          </w:p>
        </w:tc>
        <w:tc>
          <w:tcPr>
            <w:tcW w:w="3402" w:type="dxa"/>
            <w:vAlign w:val="center"/>
          </w:tcPr>
          <w:p w14:paraId="2325399C"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健全部门（单位）资产管理责任制，落实本单位使用及归口管理资产的日常管理责任。</w:t>
            </w:r>
          </w:p>
        </w:tc>
        <w:tc>
          <w:tcPr>
            <w:tcW w:w="3544" w:type="dxa"/>
            <w:vAlign w:val="center"/>
          </w:tcPr>
          <w:p w14:paraId="661FD390"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明确分管领导得1分，年度内部署资产管理工作的得1分，资产管理有年度计划得1分，年末有总结得1分。</w:t>
            </w:r>
          </w:p>
        </w:tc>
        <w:tc>
          <w:tcPr>
            <w:tcW w:w="2268" w:type="dxa"/>
            <w:vAlign w:val="center"/>
          </w:tcPr>
          <w:p w14:paraId="6E04167F"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会议记录，领导班子成员分工，资产管理日常工作相关材料，年度工作计划、总结。</w:t>
            </w:r>
          </w:p>
        </w:tc>
        <w:tc>
          <w:tcPr>
            <w:tcW w:w="709" w:type="dxa"/>
            <w:tcBorders>
              <w:right w:val="single" w:sz="4" w:space="0" w:color="auto"/>
            </w:tcBorders>
            <w:vAlign w:val="center"/>
          </w:tcPr>
          <w:p w14:paraId="2DE00883" w14:textId="77777777" w:rsidR="00D90FAD" w:rsidRPr="00D90FAD" w:rsidRDefault="00D90FAD" w:rsidP="00D90FAD">
            <w:pPr>
              <w:rPr>
                <w:rFonts w:ascii="宋体" w:eastAsia="宋体" w:hAnsi="宋体" w:cs="宋体"/>
                <w:szCs w:val="24"/>
              </w:rPr>
            </w:pPr>
          </w:p>
        </w:tc>
      </w:tr>
      <w:tr w:rsidR="00D90FAD" w:rsidRPr="00D90FAD" w14:paraId="6AB512B9" w14:textId="77777777" w:rsidTr="00D90FAD">
        <w:trPr>
          <w:trHeight w:val="2257"/>
        </w:trPr>
        <w:tc>
          <w:tcPr>
            <w:tcW w:w="1134" w:type="dxa"/>
            <w:vMerge/>
            <w:tcBorders>
              <w:right w:val="single" w:sz="4" w:space="0" w:color="auto"/>
            </w:tcBorders>
          </w:tcPr>
          <w:p w14:paraId="2B4AC103" w14:textId="77777777" w:rsidR="00D90FAD" w:rsidRPr="00D90FAD" w:rsidRDefault="00D90FAD" w:rsidP="00D90FAD">
            <w:pPr>
              <w:rPr>
                <w:rFonts w:ascii="宋体" w:eastAsia="宋体" w:hAnsi="宋体" w:cs="宋体"/>
                <w:szCs w:val="24"/>
              </w:rPr>
            </w:pPr>
          </w:p>
        </w:tc>
        <w:tc>
          <w:tcPr>
            <w:tcW w:w="1275" w:type="dxa"/>
            <w:vMerge w:val="restart"/>
            <w:tcBorders>
              <w:left w:val="single" w:sz="4" w:space="0" w:color="auto"/>
            </w:tcBorders>
            <w:vAlign w:val="center"/>
          </w:tcPr>
          <w:p w14:paraId="6DDB692D"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队伍建设</w:t>
            </w:r>
          </w:p>
        </w:tc>
        <w:tc>
          <w:tcPr>
            <w:tcW w:w="709" w:type="dxa"/>
            <w:vAlign w:val="center"/>
          </w:tcPr>
          <w:p w14:paraId="155EE26E"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4</w:t>
            </w:r>
          </w:p>
        </w:tc>
        <w:tc>
          <w:tcPr>
            <w:tcW w:w="3402" w:type="dxa"/>
            <w:vAlign w:val="center"/>
          </w:tcPr>
          <w:p w14:paraId="74214BD5"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 xml:space="preserve">至少配备有专业胜任能力的专职或兼职资产管理人员，责任落实到人。 </w:t>
            </w:r>
          </w:p>
        </w:tc>
        <w:tc>
          <w:tcPr>
            <w:tcW w:w="3544" w:type="dxa"/>
            <w:vAlign w:val="center"/>
          </w:tcPr>
          <w:p w14:paraId="3C671B39"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资产管理人员相对稳定，配备满足需要的专（兼）</w:t>
            </w:r>
            <w:proofErr w:type="gramStart"/>
            <w:r w:rsidRPr="00D90FAD">
              <w:rPr>
                <w:rFonts w:ascii="宋体" w:eastAsia="宋体" w:hAnsi="宋体" w:cs="宋体" w:hint="eastAsia"/>
                <w:szCs w:val="24"/>
              </w:rPr>
              <w:t>职资产</w:t>
            </w:r>
            <w:proofErr w:type="gramEnd"/>
            <w:r w:rsidRPr="00D90FAD">
              <w:rPr>
                <w:rFonts w:ascii="宋体" w:eastAsia="宋体" w:hAnsi="宋体" w:cs="宋体" w:hint="eastAsia"/>
                <w:szCs w:val="24"/>
              </w:rPr>
              <w:t>管理人员得2分（年度内部门、单位资产管理员变更 2 次以上扣 1 分），管理员资产管理绩效与年度考核挂钩得1分；资产管理员熟练掌握资产管理业务、责任心强得1分。</w:t>
            </w:r>
          </w:p>
        </w:tc>
        <w:tc>
          <w:tcPr>
            <w:tcW w:w="2268" w:type="dxa"/>
            <w:vAlign w:val="center"/>
          </w:tcPr>
          <w:p w14:paraId="5A8C2276"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部门（单位）的记录，部门（单位）报送资产管理员备案的相关材料。</w:t>
            </w:r>
          </w:p>
        </w:tc>
        <w:tc>
          <w:tcPr>
            <w:tcW w:w="709" w:type="dxa"/>
            <w:tcBorders>
              <w:right w:val="single" w:sz="4" w:space="0" w:color="auto"/>
            </w:tcBorders>
            <w:vAlign w:val="center"/>
          </w:tcPr>
          <w:p w14:paraId="4D12F104" w14:textId="77777777" w:rsidR="00D90FAD" w:rsidRPr="00D90FAD" w:rsidRDefault="00D90FAD" w:rsidP="00D90FAD">
            <w:pPr>
              <w:rPr>
                <w:rFonts w:ascii="宋体" w:eastAsia="宋体" w:hAnsi="宋体" w:cs="宋体"/>
                <w:szCs w:val="24"/>
              </w:rPr>
            </w:pPr>
          </w:p>
        </w:tc>
      </w:tr>
      <w:tr w:rsidR="00D90FAD" w:rsidRPr="00D90FAD" w14:paraId="5A770DDB" w14:textId="77777777" w:rsidTr="00175819">
        <w:trPr>
          <w:trHeight w:val="1983"/>
        </w:trPr>
        <w:tc>
          <w:tcPr>
            <w:tcW w:w="1134" w:type="dxa"/>
            <w:vMerge/>
            <w:tcBorders>
              <w:right w:val="single" w:sz="4" w:space="0" w:color="auto"/>
            </w:tcBorders>
          </w:tcPr>
          <w:p w14:paraId="3F9C2F1B" w14:textId="77777777" w:rsidR="00D90FAD" w:rsidRPr="00D90FAD" w:rsidRDefault="00D90FAD" w:rsidP="00D90FAD">
            <w:pPr>
              <w:rPr>
                <w:rFonts w:ascii="宋体" w:eastAsia="宋体" w:hAnsi="宋体" w:cs="宋体"/>
                <w:szCs w:val="24"/>
              </w:rPr>
            </w:pPr>
          </w:p>
        </w:tc>
        <w:tc>
          <w:tcPr>
            <w:tcW w:w="1275" w:type="dxa"/>
            <w:vMerge/>
            <w:tcBorders>
              <w:left w:val="single" w:sz="4" w:space="0" w:color="auto"/>
            </w:tcBorders>
            <w:vAlign w:val="center"/>
          </w:tcPr>
          <w:p w14:paraId="65C7E7DD" w14:textId="77777777" w:rsidR="00D90FAD" w:rsidRPr="00D90FAD" w:rsidRDefault="00D90FAD" w:rsidP="00D90FAD">
            <w:pPr>
              <w:jc w:val="center"/>
              <w:rPr>
                <w:rFonts w:ascii="宋体" w:eastAsia="宋体" w:hAnsi="宋体" w:cs="宋体"/>
                <w:szCs w:val="24"/>
                <w:highlight w:val="yellow"/>
              </w:rPr>
            </w:pPr>
          </w:p>
        </w:tc>
        <w:tc>
          <w:tcPr>
            <w:tcW w:w="709" w:type="dxa"/>
            <w:vAlign w:val="center"/>
          </w:tcPr>
          <w:p w14:paraId="4116E6F2" w14:textId="77777777" w:rsidR="00D90FAD" w:rsidRPr="00D90FAD" w:rsidRDefault="00D90FAD" w:rsidP="00D90FAD">
            <w:pPr>
              <w:jc w:val="center"/>
              <w:rPr>
                <w:rFonts w:ascii="宋体" w:eastAsia="宋体" w:hAnsi="宋体" w:cs="宋体"/>
                <w:szCs w:val="24"/>
                <w:highlight w:val="yellow"/>
              </w:rPr>
            </w:pPr>
            <w:r w:rsidRPr="00D90FAD">
              <w:rPr>
                <w:rFonts w:ascii="宋体" w:eastAsia="宋体" w:hAnsi="宋体" w:cs="宋体" w:hint="eastAsia"/>
                <w:szCs w:val="24"/>
              </w:rPr>
              <w:t>2</w:t>
            </w:r>
          </w:p>
        </w:tc>
        <w:tc>
          <w:tcPr>
            <w:tcW w:w="3402" w:type="dxa"/>
            <w:vAlign w:val="center"/>
          </w:tcPr>
          <w:p w14:paraId="26A6ADB4" w14:textId="77777777" w:rsidR="00D90FAD" w:rsidRPr="00D90FAD" w:rsidRDefault="00D90FAD" w:rsidP="00D90FAD">
            <w:pPr>
              <w:rPr>
                <w:rFonts w:ascii="宋体" w:eastAsia="宋体" w:hAnsi="宋体" w:cs="宋体"/>
                <w:szCs w:val="24"/>
                <w:highlight w:val="yellow"/>
              </w:rPr>
            </w:pPr>
            <w:r w:rsidRPr="00D90FAD">
              <w:rPr>
                <w:rFonts w:ascii="宋体" w:eastAsia="宋体" w:hAnsi="宋体" w:cs="宋体" w:hint="eastAsia"/>
                <w:szCs w:val="24"/>
              </w:rPr>
              <w:t>积极参加资产管理员业务培训。</w:t>
            </w:r>
          </w:p>
        </w:tc>
        <w:tc>
          <w:tcPr>
            <w:tcW w:w="3544" w:type="dxa"/>
            <w:vAlign w:val="center"/>
          </w:tcPr>
          <w:p w14:paraId="6362996C" w14:textId="77777777" w:rsidR="00D90FAD" w:rsidRPr="00D90FAD" w:rsidRDefault="00D90FAD" w:rsidP="00D90FAD">
            <w:pPr>
              <w:rPr>
                <w:rFonts w:ascii="宋体" w:eastAsia="宋体" w:hAnsi="宋体" w:cs="宋体"/>
                <w:szCs w:val="24"/>
                <w:highlight w:val="yellow"/>
              </w:rPr>
            </w:pPr>
            <w:r w:rsidRPr="00D90FAD">
              <w:rPr>
                <w:rFonts w:ascii="宋体" w:eastAsia="宋体" w:hAnsi="宋体" w:cs="宋体" w:hint="eastAsia"/>
                <w:szCs w:val="24"/>
              </w:rPr>
              <w:t>分管领导参加学校组织的资产工作会议得1分，资产管理员参加学校资产培训会议得1分。</w:t>
            </w:r>
          </w:p>
        </w:tc>
        <w:tc>
          <w:tcPr>
            <w:tcW w:w="2268" w:type="dxa"/>
            <w:vAlign w:val="center"/>
          </w:tcPr>
          <w:p w14:paraId="58A4A591" w14:textId="77777777" w:rsidR="00D90FAD" w:rsidRPr="00D90FAD" w:rsidRDefault="00D90FAD" w:rsidP="00D90FAD">
            <w:pPr>
              <w:rPr>
                <w:rFonts w:ascii="宋体" w:eastAsia="宋体" w:hAnsi="宋体" w:cs="宋体"/>
                <w:szCs w:val="24"/>
                <w:highlight w:val="yellow"/>
              </w:rPr>
            </w:pPr>
            <w:r w:rsidRPr="00D90FAD">
              <w:rPr>
                <w:rFonts w:ascii="宋体" w:eastAsia="宋体" w:hAnsi="宋体" w:cs="宋体" w:hint="eastAsia"/>
                <w:szCs w:val="24"/>
              </w:rPr>
              <w:t>培训人员统计表、会议签到或线上培训记录等。</w:t>
            </w:r>
          </w:p>
        </w:tc>
        <w:tc>
          <w:tcPr>
            <w:tcW w:w="709" w:type="dxa"/>
            <w:tcBorders>
              <w:right w:val="single" w:sz="4" w:space="0" w:color="auto"/>
            </w:tcBorders>
            <w:vAlign w:val="center"/>
          </w:tcPr>
          <w:p w14:paraId="3F7083A4" w14:textId="77777777" w:rsidR="00D90FAD" w:rsidRPr="00D90FAD" w:rsidRDefault="00D90FAD" w:rsidP="00D90FAD">
            <w:pPr>
              <w:rPr>
                <w:rFonts w:ascii="宋体" w:eastAsia="宋体" w:hAnsi="宋体" w:cs="宋体"/>
                <w:szCs w:val="24"/>
              </w:rPr>
            </w:pPr>
          </w:p>
        </w:tc>
      </w:tr>
      <w:tr w:rsidR="00D90FAD" w:rsidRPr="00D90FAD" w14:paraId="3A8AEE3F" w14:textId="77777777" w:rsidTr="00175819">
        <w:trPr>
          <w:trHeight w:val="405"/>
        </w:trPr>
        <w:tc>
          <w:tcPr>
            <w:tcW w:w="1134" w:type="dxa"/>
            <w:tcBorders>
              <w:right w:val="single" w:sz="4" w:space="0" w:color="auto"/>
            </w:tcBorders>
            <w:vAlign w:val="center"/>
          </w:tcPr>
          <w:p w14:paraId="245B7E40"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lastRenderedPageBreak/>
              <w:t>一级指标</w:t>
            </w:r>
          </w:p>
        </w:tc>
        <w:tc>
          <w:tcPr>
            <w:tcW w:w="1275" w:type="dxa"/>
            <w:tcBorders>
              <w:left w:val="single" w:sz="4" w:space="0" w:color="auto"/>
            </w:tcBorders>
            <w:vAlign w:val="center"/>
          </w:tcPr>
          <w:p w14:paraId="6507221B"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二级指标</w:t>
            </w:r>
          </w:p>
        </w:tc>
        <w:tc>
          <w:tcPr>
            <w:tcW w:w="709" w:type="dxa"/>
            <w:vAlign w:val="center"/>
          </w:tcPr>
          <w:p w14:paraId="5DB4633D"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分值</w:t>
            </w:r>
          </w:p>
        </w:tc>
        <w:tc>
          <w:tcPr>
            <w:tcW w:w="3402" w:type="dxa"/>
            <w:vAlign w:val="center"/>
          </w:tcPr>
          <w:p w14:paraId="6C4FF78B"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指标解释与评价标准</w:t>
            </w:r>
          </w:p>
        </w:tc>
        <w:tc>
          <w:tcPr>
            <w:tcW w:w="3544" w:type="dxa"/>
            <w:vAlign w:val="center"/>
          </w:tcPr>
          <w:p w14:paraId="52D88E46"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量化评分细则</w:t>
            </w:r>
          </w:p>
        </w:tc>
        <w:tc>
          <w:tcPr>
            <w:tcW w:w="2268" w:type="dxa"/>
            <w:vAlign w:val="center"/>
          </w:tcPr>
          <w:p w14:paraId="58D6FA28"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评价依据</w:t>
            </w:r>
          </w:p>
        </w:tc>
        <w:tc>
          <w:tcPr>
            <w:tcW w:w="709" w:type="dxa"/>
            <w:tcBorders>
              <w:right w:val="single" w:sz="4" w:space="0" w:color="auto"/>
            </w:tcBorders>
            <w:vAlign w:val="center"/>
          </w:tcPr>
          <w:p w14:paraId="4A47AB7E"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得分</w:t>
            </w:r>
          </w:p>
        </w:tc>
      </w:tr>
      <w:tr w:rsidR="00D90FAD" w:rsidRPr="00D90FAD" w14:paraId="6DF1B862" w14:textId="77777777" w:rsidTr="00175819">
        <w:trPr>
          <w:trHeight w:val="1688"/>
        </w:trPr>
        <w:tc>
          <w:tcPr>
            <w:tcW w:w="1134" w:type="dxa"/>
            <w:vMerge w:val="restart"/>
            <w:vAlign w:val="center"/>
          </w:tcPr>
          <w:p w14:paraId="7EE2A8D2" w14:textId="77777777" w:rsidR="00D90FAD" w:rsidRPr="00D90FAD" w:rsidRDefault="00D90FAD" w:rsidP="00D90FAD">
            <w:pPr>
              <w:jc w:val="center"/>
              <w:rPr>
                <w:rFonts w:ascii="宋体" w:eastAsia="宋体" w:hAnsi="宋体" w:cs="宋体"/>
                <w:szCs w:val="24"/>
              </w:rPr>
            </w:pPr>
          </w:p>
          <w:p w14:paraId="58737A7F"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资产配置</w:t>
            </w:r>
          </w:p>
          <w:p w14:paraId="612F3DDD"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（20分）</w:t>
            </w:r>
          </w:p>
          <w:p w14:paraId="6C653E6B" w14:textId="77777777" w:rsidR="00D90FAD" w:rsidRPr="00D90FAD" w:rsidRDefault="00D90FAD" w:rsidP="00D90FAD">
            <w:pPr>
              <w:jc w:val="center"/>
              <w:rPr>
                <w:rFonts w:ascii="宋体" w:eastAsia="宋体" w:hAnsi="宋体" w:cs="宋体"/>
                <w:szCs w:val="24"/>
              </w:rPr>
            </w:pPr>
          </w:p>
          <w:p w14:paraId="031887BC" w14:textId="77777777" w:rsidR="00D90FAD" w:rsidRPr="00D90FAD" w:rsidRDefault="00D90FAD" w:rsidP="00D90FAD">
            <w:pPr>
              <w:jc w:val="center"/>
              <w:rPr>
                <w:rFonts w:ascii="宋体" w:eastAsia="宋体" w:hAnsi="宋体" w:cs="宋体"/>
                <w:szCs w:val="24"/>
              </w:rPr>
            </w:pPr>
          </w:p>
          <w:p w14:paraId="5F1BEA52" w14:textId="77777777" w:rsidR="00D90FAD" w:rsidRPr="00D90FAD" w:rsidRDefault="00D90FAD" w:rsidP="00D90FAD">
            <w:pPr>
              <w:rPr>
                <w:rFonts w:ascii="宋体" w:eastAsia="宋体" w:hAnsi="宋体" w:cs="宋体"/>
                <w:szCs w:val="24"/>
              </w:rPr>
            </w:pPr>
          </w:p>
        </w:tc>
        <w:tc>
          <w:tcPr>
            <w:tcW w:w="1275" w:type="dxa"/>
            <w:vAlign w:val="center"/>
          </w:tcPr>
          <w:p w14:paraId="4CF94061"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配置计划</w:t>
            </w:r>
          </w:p>
        </w:tc>
        <w:tc>
          <w:tcPr>
            <w:tcW w:w="709" w:type="dxa"/>
            <w:vAlign w:val="center"/>
          </w:tcPr>
          <w:p w14:paraId="1127ABFF"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3</w:t>
            </w:r>
          </w:p>
        </w:tc>
        <w:tc>
          <w:tcPr>
            <w:tcW w:w="3402" w:type="dxa"/>
            <w:vAlign w:val="center"/>
          </w:tcPr>
          <w:p w14:paraId="39FE188C"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资产配置应遵循“先计划，后采购”的原则，合理编制资产配置计划，按规定程序报批。</w:t>
            </w:r>
          </w:p>
        </w:tc>
        <w:tc>
          <w:tcPr>
            <w:tcW w:w="3544" w:type="dxa"/>
            <w:vAlign w:val="center"/>
          </w:tcPr>
          <w:p w14:paraId="64009490"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资产配置遵循共享、共用原则，并经部门（单位）集体慎重研究后编制计划得3分。</w:t>
            </w:r>
          </w:p>
        </w:tc>
        <w:tc>
          <w:tcPr>
            <w:tcW w:w="2268" w:type="dxa"/>
            <w:vAlign w:val="center"/>
          </w:tcPr>
          <w:p w14:paraId="05505320"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部门（单位）办公会纪要，提交财务处、资产管理处有关购置计划的材料。</w:t>
            </w:r>
          </w:p>
        </w:tc>
        <w:tc>
          <w:tcPr>
            <w:tcW w:w="709" w:type="dxa"/>
            <w:tcBorders>
              <w:right w:val="single" w:sz="4" w:space="0" w:color="auto"/>
            </w:tcBorders>
            <w:vAlign w:val="center"/>
          </w:tcPr>
          <w:p w14:paraId="75919AEF" w14:textId="77777777" w:rsidR="00D90FAD" w:rsidRPr="00D90FAD" w:rsidRDefault="00D90FAD" w:rsidP="00D90FAD">
            <w:pPr>
              <w:rPr>
                <w:rFonts w:ascii="宋体" w:eastAsia="宋体" w:hAnsi="宋体" w:cs="宋体"/>
                <w:szCs w:val="24"/>
              </w:rPr>
            </w:pPr>
          </w:p>
        </w:tc>
      </w:tr>
      <w:tr w:rsidR="00D90FAD" w:rsidRPr="00D90FAD" w14:paraId="2F5CF669" w14:textId="77777777" w:rsidTr="00D90FAD">
        <w:trPr>
          <w:trHeight w:val="1554"/>
        </w:trPr>
        <w:tc>
          <w:tcPr>
            <w:tcW w:w="1134" w:type="dxa"/>
            <w:vMerge/>
            <w:vAlign w:val="center"/>
          </w:tcPr>
          <w:p w14:paraId="6D3B87A7" w14:textId="77777777" w:rsidR="00D90FAD" w:rsidRPr="00D90FAD" w:rsidRDefault="00D90FAD" w:rsidP="00D90FAD">
            <w:pPr>
              <w:rPr>
                <w:rFonts w:ascii="宋体" w:eastAsia="宋体" w:hAnsi="宋体" w:cs="宋体"/>
                <w:szCs w:val="24"/>
              </w:rPr>
            </w:pPr>
          </w:p>
        </w:tc>
        <w:tc>
          <w:tcPr>
            <w:tcW w:w="1275" w:type="dxa"/>
            <w:vAlign w:val="center"/>
          </w:tcPr>
          <w:p w14:paraId="1FCFFBD8"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配置标准</w:t>
            </w:r>
          </w:p>
        </w:tc>
        <w:tc>
          <w:tcPr>
            <w:tcW w:w="709" w:type="dxa"/>
            <w:vAlign w:val="center"/>
          </w:tcPr>
          <w:p w14:paraId="08FD4FC9"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4</w:t>
            </w:r>
          </w:p>
        </w:tc>
        <w:tc>
          <w:tcPr>
            <w:tcW w:w="3402" w:type="dxa"/>
            <w:vAlign w:val="center"/>
          </w:tcPr>
          <w:p w14:paraId="78EA7BFA"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资产配置符合标准，计划合理。</w:t>
            </w:r>
          </w:p>
        </w:tc>
        <w:tc>
          <w:tcPr>
            <w:tcW w:w="3544" w:type="dxa"/>
            <w:vAlign w:val="center"/>
          </w:tcPr>
          <w:p w14:paraId="56A31B3B"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严格执行资产配置标准配备办公设备、办公家具和办公用房等，发现超编、超标配备的每起扣0.5分，最高扣4分。</w:t>
            </w:r>
          </w:p>
        </w:tc>
        <w:tc>
          <w:tcPr>
            <w:tcW w:w="2268" w:type="dxa"/>
            <w:vAlign w:val="center"/>
          </w:tcPr>
          <w:p w14:paraId="4A58988D"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资产管理系统核查。</w:t>
            </w:r>
          </w:p>
        </w:tc>
        <w:tc>
          <w:tcPr>
            <w:tcW w:w="709" w:type="dxa"/>
            <w:tcBorders>
              <w:right w:val="single" w:sz="4" w:space="0" w:color="auto"/>
            </w:tcBorders>
            <w:vAlign w:val="center"/>
          </w:tcPr>
          <w:p w14:paraId="43E12533" w14:textId="77777777" w:rsidR="00D90FAD" w:rsidRPr="00D90FAD" w:rsidRDefault="00D90FAD" w:rsidP="00D90FAD">
            <w:pPr>
              <w:rPr>
                <w:rFonts w:ascii="宋体" w:eastAsia="宋体" w:hAnsi="宋体" w:cs="宋体"/>
                <w:szCs w:val="24"/>
              </w:rPr>
            </w:pPr>
          </w:p>
        </w:tc>
      </w:tr>
      <w:tr w:rsidR="00D90FAD" w:rsidRPr="00D90FAD" w14:paraId="2D3EFF8A" w14:textId="77777777" w:rsidTr="00175819">
        <w:trPr>
          <w:trHeight w:val="2123"/>
        </w:trPr>
        <w:tc>
          <w:tcPr>
            <w:tcW w:w="1134" w:type="dxa"/>
            <w:vMerge/>
            <w:vAlign w:val="center"/>
          </w:tcPr>
          <w:p w14:paraId="1C65EEAB" w14:textId="77777777" w:rsidR="00D90FAD" w:rsidRPr="00D90FAD" w:rsidRDefault="00D90FAD" w:rsidP="00D90FAD">
            <w:pPr>
              <w:rPr>
                <w:rFonts w:ascii="宋体" w:eastAsia="宋体" w:hAnsi="宋体" w:cs="宋体"/>
                <w:szCs w:val="24"/>
              </w:rPr>
            </w:pPr>
          </w:p>
        </w:tc>
        <w:tc>
          <w:tcPr>
            <w:tcW w:w="1275" w:type="dxa"/>
            <w:vAlign w:val="center"/>
          </w:tcPr>
          <w:p w14:paraId="0D81C567"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采购论证</w:t>
            </w:r>
          </w:p>
        </w:tc>
        <w:tc>
          <w:tcPr>
            <w:tcW w:w="709" w:type="dxa"/>
            <w:vAlign w:val="center"/>
          </w:tcPr>
          <w:p w14:paraId="467ECB7F"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8</w:t>
            </w:r>
          </w:p>
        </w:tc>
        <w:tc>
          <w:tcPr>
            <w:tcW w:w="3402" w:type="dxa"/>
            <w:vAlign w:val="center"/>
          </w:tcPr>
          <w:p w14:paraId="0951A121"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部门（单位）需加强前期市场调研和项目论证工作，据实编制政府采购预算，并及时报送政府采购需求。</w:t>
            </w:r>
          </w:p>
        </w:tc>
        <w:tc>
          <w:tcPr>
            <w:tcW w:w="3544" w:type="dxa"/>
            <w:vAlign w:val="center"/>
          </w:tcPr>
          <w:p w14:paraId="1B9F283C"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大型、贵重仪器设备购置有论证报告得2分；严格执行资产购置三级论证制度得4分（没有以上论证报告的一项扣2分，扣完6分为止）；按规定时间提交政府采购需求得2分。</w:t>
            </w:r>
          </w:p>
        </w:tc>
        <w:tc>
          <w:tcPr>
            <w:tcW w:w="2268" w:type="dxa"/>
            <w:vAlign w:val="center"/>
          </w:tcPr>
          <w:p w14:paraId="43D756F2"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部门（单位）有关购置计划的论证报告，招标采购需求申报表等政府采购预算编制材料。</w:t>
            </w:r>
          </w:p>
        </w:tc>
        <w:tc>
          <w:tcPr>
            <w:tcW w:w="709" w:type="dxa"/>
            <w:tcBorders>
              <w:right w:val="single" w:sz="4" w:space="0" w:color="auto"/>
            </w:tcBorders>
            <w:vAlign w:val="center"/>
          </w:tcPr>
          <w:p w14:paraId="372F50E4" w14:textId="77777777" w:rsidR="00D90FAD" w:rsidRPr="00D90FAD" w:rsidRDefault="00D90FAD" w:rsidP="00D90FAD">
            <w:pPr>
              <w:rPr>
                <w:rFonts w:ascii="宋体" w:eastAsia="宋体" w:hAnsi="宋体" w:cs="宋体"/>
                <w:szCs w:val="24"/>
              </w:rPr>
            </w:pPr>
          </w:p>
        </w:tc>
      </w:tr>
      <w:tr w:rsidR="00D90FAD" w:rsidRPr="00D90FAD" w14:paraId="68850CE3" w14:textId="77777777" w:rsidTr="00175819">
        <w:trPr>
          <w:trHeight w:val="2417"/>
        </w:trPr>
        <w:tc>
          <w:tcPr>
            <w:tcW w:w="1134" w:type="dxa"/>
            <w:vMerge/>
            <w:tcBorders>
              <w:bottom w:val="single" w:sz="4" w:space="0" w:color="auto"/>
            </w:tcBorders>
          </w:tcPr>
          <w:p w14:paraId="64DE1A43" w14:textId="77777777" w:rsidR="00D90FAD" w:rsidRPr="00D90FAD" w:rsidRDefault="00D90FAD" w:rsidP="00D90FAD">
            <w:pPr>
              <w:rPr>
                <w:rFonts w:ascii="宋体" w:eastAsia="宋体" w:hAnsi="宋体" w:cs="宋体"/>
                <w:szCs w:val="24"/>
              </w:rPr>
            </w:pPr>
          </w:p>
        </w:tc>
        <w:tc>
          <w:tcPr>
            <w:tcW w:w="1275" w:type="dxa"/>
            <w:tcBorders>
              <w:bottom w:val="single" w:sz="4" w:space="0" w:color="auto"/>
            </w:tcBorders>
            <w:vAlign w:val="center"/>
          </w:tcPr>
          <w:p w14:paraId="37A260F8"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验收入库</w:t>
            </w:r>
          </w:p>
        </w:tc>
        <w:tc>
          <w:tcPr>
            <w:tcW w:w="709" w:type="dxa"/>
            <w:tcBorders>
              <w:bottom w:val="single" w:sz="4" w:space="0" w:color="auto"/>
            </w:tcBorders>
            <w:vAlign w:val="center"/>
          </w:tcPr>
          <w:p w14:paraId="6B6EE1C2" w14:textId="77777777" w:rsidR="00D90FAD" w:rsidRPr="00D90FAD" w:rsidRDefault="00D90FAD" w:rsidP="00D90FAD">
            <w:pPr>
              <w:ind w:firstLineChars="100" w:firstLine="210"/>
              <w:rPr>
                <w:rFonts w:ascii="宋体" w:eastAsia="宋体" w:hAnsi="宋体" w:cs="宋体"/>
                <w:szCs w:val="24"/>
              </w:rPr>
            </w:pPr>
            <w:r w:rsidRPr="00D90FAD">
              <w:rPr>
                <w:rFonts w:ascii="宋体" w:eastAsia="宋体" w:hAnsi="宋体" w:cs="宋体" w:hint="eastAsia"/>
                <w:szCs w:val="24"/>
              </w:rPr>
              <w:t>5</w:t>
            </w:r>
          </w:p>
        </w:tc>
        <w:tc>
          <w:tcPr>
            <w:tcW w:w="3402" w:type="dxa"/>
            <w:vAlign w:val="center"/>
          </w:tcPr>
          <w:p w14:paraId="17D7BD40"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严格按照采购合同约定开展履约验收，积极配合验收人员及时做好验收入库相关工作。</w:t>
            </w:r>
          </w:p>
        </w:tc>
        <w:tc>
          <w:tcPr>
            <w:tcW w:w="3544" w:type="dxa"/>
            <w:vAlign w:val="center"/>
          </w:tcPr>
          <w:p w14:paraId="4A83F7C6"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及时验收，政府采购项目履约验收单填写完整得2分，资产入库信息单明确品种、规格、数量、放置地点等信息，有使用人、资产管理员签字完整得2分，及时入账得1分。</w:t>
            </w:r>
          </w:p>
        </w:tc>
        <w:tc>
          <w:tcPr>
            <w:tcW w:w="2268" w:type="dxa"/>
            <w:tcBorders>
              <w:bottom w:val="single" w:sz="4" w:space="0" w:color="auto"/>
            </w:tcBorders>
            <w:vAlign w:val="center"/>
          </w:tcPr>
          <w:p w14:paraId="43C53142" w14:textId="77777777" w:rsidR="00D90FAD" w:rsidRPr="00D90FAD" w:rsidRDefault="00D90FAD" w:rsidP="00D90FAD">
            <w:pPr>
              <w:rPr>
                <w:rFonts w:ascii="宋体" w:eastAsia="宋体" w:hAnsi="宋体" w:cs="宋体"/>
                <w:szCs w:val="24"/>
              </w:rPr>
            </w:pPr>
          </w:p>
          <w:p w14:paraId="7EFF9201"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政府采购项目履约验收单、资产入库信息统计表、资产管理系统核查。</w:t>
            </w:r>
          </w:p>
          <w:p w14:paraId="2D91392F" w14:textId="77777777" w:rsidR="00D90FAD" w:rsidRPr="00D90FAD" w:rsidRDefault="00D90FAD" w:rsidP="00D90FAD">
            <w:pPr>
              <w:rPr>
                <w:rFonts w:ascii="宋体" w:eastAsia="宋体" w:hAnsi="宋体" w:cs="宋体"/>
                <w:szCs w:val="24"/>
              </w:rPr>
            </w:pPr>
          </w:p>
        </w:tc>
        <w:tc>
          <w:tcPr>
            <w:tcW w:w="709" w:type="dxa"/>
            <w:tcBorders>
              <w:bottom w:val="single" w:sz="4" w:space="0" w:color="auto"/>
              <w:right w:val="single" w:sz="4" w:space="0" w:color="auto"/>
            </w:tcBorders>
            <w:vAlign w:val="center"/>
          </w:tcPr>
          <w:p w14:paraId="374B8DA0" w14:textId="77777777" w:rsidR="00D90FAD" w:rsidRPr="00D90FAD" w:rsidRDefault="00D90FAD" w:rsidP="00D90FAD">
            <w:pPr>
              <w:rPr>
                <w:rFonts w:ascii="宋体" w:eastAsia="宋体" w:hAnsi="宋体" w:cs="宋体"/>
                <w:szCs w:val="24"/>
              </w:rPr>
            </w:pPr>
          </w:p>
        </w:tc>
      </w:tr>
      <w:tr w:rsidR="00D90FAD" w:rsidRPr="00D90FAD" w14:paraId="3F2A6DF7" w14:textId="77777777" w:rsidTr="00175819">
        <w:trPr>
          <w:trHeight w:val="551"/>
        </w:trPr>
        <w:tc>
          <w:tcPr>
            <w:tcW w:w="1134" w:type="dxa"/>
            <w:tcBorders>
              <w:right w:val="single" w:sz="4" w:space="0" w:color="auto"/>
            </w:tcBorders>
            <w:vAlign w:val="center"/>
          </w:tcPr>
          <w:p w14:paraId="534C5188"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lastRenderedPageBreak/>
              <w:t>一级指标</w:t>
            </w:r>
          </w:p>
        </w:tc>
        <w:tc>
          <w:tcPr>
            <w:tcW w:w="1275" w:type="dxa"/>
            <w:tcBorders>
              <w:left w:val="single" w:sz="4" w:space="0" w:color="auto"/>
            </w:tcBorders>
            <w:vAlign w:val="center"/>
          </w:tcPr>
          <w:p w14:paraId="31E0ABEB"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二级指标</w:t>
            </w:r>
          </w:p>
        </w:tc>
        <w:tc>
          <w:tcPr>
            <w:tcW w:w="709" w:type="dxa"/>
            <w:vAlign w:val="center"/>
          </w:tcPr>
          <w:p w14:paraId="1330243A"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分值</w:t>
            </w:r>
          </w:p>
        </w:tc>
        <w:tc>
          <w:tcPr>
            <w:tcW w:w="3402" w:type="dxa"/>
            <w:vAlign w:val="center"/>
          </w:tcPr>
          <w:p w14:paraId="38EA6DFB"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指标解释与评价标准</w:t>
            </w:r>
          </w:p>
        </w:tc>
        <w:tc>
          <w:tcPr>
            <w:tcW w:w="3544" w:type="dxa"/>
            <w:vAlign w:val="center"/>
          </w:tcPr>
          <w:p w14:paraId="148A16C5"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量化评分细则</w:t>
            </w:r>
          </w:p>
        </w:tc>
        <w:tc>
          <w:tcPr>
            <w:tcW w:w="2268" w:type="dxa"/>
            <w:vAlign w:val="center"/>
          </w:tcPr>
          <w:p w14:paraId="10983C37"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评价依据</w:t>
            </w:r>
          </w:p>
        </w:tc>
        <w:tc>
          <w:tcPr>
            <w:tcW w:w="709" w:type="dxa"/>
            <w:tcBorders>
              <w:right w:val="single" w:sz="4" w:space="0" w:color="auto"/>
            </w:tcBorders>
            <w:vAlign w:val="center"/>
          </w:tcPr>
          <w:p w14:paraId="3B4AC9BF"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得分</w:t>
            </w:r>
          </w:p>
        </w:tc>
      </w:tr>
      <w:tr w:rsidR="00D90FAD" w:rsidRPr="00D90FAD" w14:paraId="6C646B79" w14:textId="77777777" w:rsidTr="00D90FAD">
        <w:trPr>
          <w:trHeight w:val="1277"/>
        </w:trPr>
        <w:tc>
          <w:tcPr>
            <w:tcW w:w="1134" w:type="dxa"/>
            <w:vMerge w:val="restart"/>
            <w:tcBorders>
              <w:top w:val="single" w:sz="4" w:space="0" w:color="auto"/>
            </w:tcBorders>
          </w:tcPr>
          <w:p w14:paraId="59C984CE" w14:textId="77777777" w:rsidR="00D90FAD" w:rsidRPr="00D90FAD" w:rsidRDefault="00D90FAD" w:rsidP="00D90FAD">
            <w:pPr>
              <w:jc w:val="center"/>
              <w:rPr>
                <w:rFonts w:ascii="宋体" w:eastAsia="宋体" w:hAnsi="宋体" w:cs="宋体"/>
                <w:szCs w:val="24"/>
              </w:rPr>
            </w:pPr>
          </w:p>
          <w:p w14:paraId="22F8B824" w14:textId="77777777" w:rsidR="00D90FAD" w:rsidRPr="00D90FAD" w:rsidRDefault="00D90FAD" w:rsidP="00D90FAD">
            <w:pPr>
              <w:jc w:val="center"/>
              <w:rPr>
                <w:rFonts w:ascii="宋体" w:eastAsia="宋体" w:hAnsi="宋体" w:cs="宋体"/>
                <w:szCs w:val="24"/>
              </w:rPr>
            </w:pPr>
          </w:p>
          <w:p w14:paraId="3ABD06BC" w14:textId="77777777" w:rsidR="00D90FAD" w:rsidRPr="00D90FAD" w:rsidRDefault="00D90FAD" w:rsidP="00D90FAD">
            <w:pPr>
              <w:jc w:val="center"/>
              <w:rPr>
                <w:rFonts w:ascii="宋体" w:eastAsia="宋体" w:hAnsi="宋体" w:cs="宋体"/>
                <w:szCs w:val="24"/>
              </w:rPr>
            </w:pPr>
          </w:p>
          <w:p w14:paraId="00B822FB" w14:textId="77777777" w:rsidR="00D90FAD" w:rsidRPr="00D90FAD" w:rsidRDefault="00D90FAD" w:rsidP="00D90FAD">
            <w:pPr>
              <w:jc w:val="center"/>
              <w:rPr>
                <w:rFonts w:ascii="宋体" w:eastAsia="宋体" w:hAnsi="宋体" w:cs="宋体"/>
                <w:szCs w:val="24"/>
              </w:rPr>
            </w:pPr>
          </w:p>
          <w:p w14:paraId="3322B201" w14:textId="77777777" w:rsidR="00D90FAD" w:rsidRPr="00D90FAD" w:rsidRDefault="00D90FAD" w:rsidP="00D90FAD">
            <w:pPr>
              <w:jc w:val="center"/>
              <w:rPr>
                <w:rFonts w:ascii="宋体" w:eastAsia="宋体" w:hAnsi="宋体" w:cs="宋体"/>
                <w:szCs w:val="24"/>
              </w:rPr>
            </w:pPr>
          </w:p>
          <w:p w14:paraId="55139A65" w14:textId="77777777" w:rsidR="00D90FAD" w:rsidRPr="00D90FAD" w:rsidRDefault="00D90FAD" w:rsidP="00D90FAD">
            <w:pPr>
              <w:rPr>
                <w:rFonts w:ascii="宋体" w:eastAsia="宋体" w:hAnsi="宋体" w:cs="宋体"/>
                <w:szCs w:val="24"/>
              </w:rPr>
            </w:pPr>
          </w:p>
          <w:p w14:paraId="6C16E559" w14:textId="77777777" w:rsidR="00D90FAD" w:rsidRPr="00D90FAD" w:rsidRDefault="00D90FAD" w:rsidP="00D90FAD">
            <w:pPr>
              <w:rPr>
                <w:rFonts w:ascii="宋体" w:eastAsia="宋体" w:hAnsi="宋体" w:cs="宋体"/>
                <w:szCs w:val="24"/>
              </w:rPr>
            </w:pPr>
          </w:p>
          <w:p w14:paraId="456988F5" w14:textId="77777777" w:rsidR="00D90FAD" w:rsidRPr="00D90FAD" w:rsidRDefault="00D90FAD" w:rsidP="00D90FAD">
            <w:pPr>
              <w:rPr>
                <w:rFonts w:ascii="宋体" w:eastAsia="宋体" w:hAnsi="宋体" w:cs="宋体"/>
                <w:szCs w:val="24"/>
              </w:rPr>
            </w:pPr>
          </w:p>
          <w:p w14:paraId="7CB80221" w14:textId="77777777" w:rsidR="00D90FAD" w:rsidRPr="00D90FAD" w:rsidRDefault="00D90FAD" w:rsidP="00D90FAD">
            <w:pPr>
              <w:rPr>
                <w:rFonts w:ascii="宋体" w:eastAsia="宋体" w:hAnsi="宋体" w:cs="宋体"/>
                <w:szCs w:val="24"/>
              </w:rPr>
            </w:pPr>
          </w:p>
          <w:p w14:paraId="3A36B81B" w14:textId="77777777" w:rsidR="00D90FAD" w:rsidRPr="00D90FAD" w:rsidRDefault="00D90FAD" w:rsidP="00D90FAD">
            <w:pPr>
              <w:rPr>
                <w:rFonts w:ascii="宋体" w:eastAsia="宋体" w:hAnsi="宋体" w:cs="宋体"/>
                <w:szCs w:val="24"/>
              </w:rPr>
            </w:pPr>
          </w:p>
          <w:p w14:paraId="6041B10F" w14:textId="77777777" w:rsidR="00D90FAD" w:rsidRPr="00D90FAD" w:rsidRDefault="00D90FAD" w:rsidP="00D90FAD">
            <w:pPr>
              <w:rPr>
                <w:rFonts w:ascii="宋体" w:eastAsia="宋体" w:hAnsi="宋体" w:cs="宋体"/>
                <w:szCs w:val="24"/>
              </w:rPr>
            </w:pPr>
          </w:p>
          <w:p w14:paraId="533270B4"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资产使用</w:t>
            </w:r>
          </w:p>
          <w:p w14:paraId="511A8494"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（20分）</w:t>
            </w:r>
          </w:p>
          <w:p w14:paraId="015CFDC8" w14:textId="77777777" w:rsidR="00D90FAD" w:rsidRPr="00D90FAD" w:rsidRDefault="00D90FAD" w:rsidP="00D90FAD">
            <w:pPr>
              <w:jc w:val="center"/>
              <w:rPr>
                <w:rFonts w:ascii="宋体" w:eastAsia="宋体" w:hAnsi="宋体" w:cs="宋体"/>
                <w:szCs w:val="24"/>
              </w:rPr>
            </w:pPr>
          </w:p>
          <w:p w14:paraId="6780973A" w14:textId="77777777" w:rsidR="00D90FAD" w:rsidRPr="00D90FAD" w:rsidRDefault="00D90FAD" w:rsidP="00D90FAD">
            <w:pPr>
              <w:jc w:val="center"/>
              <w:rPr>
                <w:rFonts w:ascii="宋体" w:eastAsia="宋体" w:hAnsi="宋体" w:cs="宋体"/>
                <w:szCs w:val="24"/>
              </w:rPr>
            </w:pPr>
          </w:p>
          <w:p w14:paraId="4B368767" w14:textId="77777777" w:rsidR="00D90FAD" w:rsidRPr="00D90FAD" w:rsidRDefault="00D90FAD" w:rsidP="00D90FAD">
            <w:pPr>
              <w:rPr>
                <w:rFonts w:ascii="宋体" w:eastAsia="宋体" w:hAnsi="宋体" w:cs="宋体"/>
                <w:szCs w:val="24"/>
              </w:rPr>
            </w:pPr>
          </w:p>
        </w:tc>
        <w:tc>
          <w:tcPr>
            <w:tcW w:w="1275" w:type="dxa"/>
            <w:vMerge w:val="restart"/>
            <w:tcBorders>
              <w:top w:val="single" w:sz="4" w:space="0" w:color="auto"/>
            </w:tcBorders>
            <w:vAlign w:val="center"/>
          </w:tcPr>
          <w:p w14:paraId="05F55EFA"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资产动态</w:t>
            </w:r>
          </w:p>
          <w:p w14:paraId="31494728"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管理</w:t>
            </w:r>
          </w:p>
        </w:tc>
        <w:tc>
          <w:tcPr>
            <w:tcW w:w="709" w:type="dxa"/>
            <w:tcBorders>
              <w:top w:val="single" w:sz="4" w:space="0" w:color="auto"/>
            </w:tcBorders>
            <w:vAlign w:val="center"/>
          </w:tcPr>
          <w:p w14:paraId="633B950F"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3</w:t>
            </w:r>
          </w:p>
        </w:tc>
        <w:tc>
          <w:tcPr>
            <w:tcW w:w="3402" w:type="dxa"/>
            <w:vAlign w:val="center"/>
          </w:tcPr>
          <w:p w14:paraId="7FD23DE2"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资产调拨、调剂等变动，及时履行相应手续，做到账</w:t>
            </w:r>
            <w:proofErr w:type="gramStart"/>
            <w:r w:rsidRPr="00D90FAD">
              <w:rPr>
                <w:rFonts w:ascii="宋体" w:eastAsia="宋体" w:hAnsi="宋体" w:cs="宋体" w:hint="eastAsia"/>
                <w:szCs w:val="24"/>
              </w:rPr>
              <w:t>账</w:t>
            </w:r>
            <w:proofErr w:type="gramEnd"/>
            <w:r w:rsidRPr="00D90FAD">
              <w:rPr>
                <w:rFonts w:ascii="宋体" w:eastAsia="宋体" w:hAnsi="宋体" w:cs="宋体" w:hint="eastAsia"/>
                <w:szCs w:val="24"/>
              </w:rPr>
              <w:t>、账卡、账实相符。</w:t>
            </w:r>
          </w:p>
        </w:tc>
        <w:tc>
          <w:tcPr>
            <w:tcW w:w="3544" w:type="dxa"/>
            <w:vAlign w:val="center"/>
          </w:tcPr>
          <w:p w14:paraId="3F9CF459"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及时办理资产调拨、调剂等变动手续，做到账</w:t>
            </w:r>
            <w:proofErr w:type="gramStart"/>
            <w:r w:rsidRPr="00D90FAD">
              <w:rPr>
                <w:rFonts w:ascii="宋体" w:eastAsia="宋体" w:hAnsi="宋体" w:cs="宋体" w:hint="eastAsia"/>
                <w:szCs w:val="24"/>
              </w:rPr>
              <w:t>账</w:t>
            </w:r>
            <w:proofErr w:type="gramEnd"/>
            <w:r w:rsidRPr="00D90FAD">
              <w:rPr>
                <w:rFonts w:ascii="宋体" w:eastAsia="宋体" w:hAnsi="宋体" w:cs="宋体" w:hint="eastAsia"/>
                <w:szCs w:val="24"/>
              </w:rPr>
              <w:t>、账卡、账实相符得3分。</w:t>
            </w:r>
          </w:p>
        </w:tc>
        <w:tc>
          <w:tcPr>
            <w:tcW w:w="2268" w:type="dxa"/>
            <w:vMerge w:val="restart"/>
            <w:tcBorders>
              <w:top w:val="single" w:sz="4" w:space="0" w:color="auto"/>
            </w:tcBorders>
            <w:vAlign w:val="center"/>
          </w:tcPr>
          <w:p w14:paraId="0356CDE2" w14:textId="77777777" w:rsidR="00D90FAD" w:rsidRPr="00D90FAD" w:rsidRDefault="00D90FAD" w:rsidP="00D90FAD">
            <w:pPr>
              <w:rPr>
                <w:rFonts w:ascii="宋体" w:eastAsia="宋体" w:hAnsi="宋体" w:cs="宋体"/>
                <w:szCs w:val="24"/>
              </w:rPr>
            </w:pPr>
          </w:p>
          <w:p w14:paraId="3424F885" w14:textId="77777777" w:rsidR="00D90FAD" w:rsidRPr="00D90FAD" w:rsidRDefault="00D90FAD" w:rsidP="00D90FAD">
            <w:pPr>
              <w:rPr>
                <w:rFonts w:ascii="宋体" w:eastAsia="宋体" w:hAnsi="宋体" w:cs="宋体"/>
                <w:szCs w:val="24"/>
              </w:rPr>
            </w:pPr>
          </w:p>
          <w:p w14:paraId="095EE09C" w14:textId="77777777" w:rsidR="00D90FAD" w:rsidRPr="00D90FAD" w:rsidRDefault="00D90FAD" w:rsidP="00D90FAD">
            <w:pPr>
              <w:rPr>
                <w:rFonts w:ascii="宋体" w:eastAsia="宋体" w:hAnsi="宋体" w:cs="宋体"/>
                <w:szCs w:val="24"/>
              </w:rPr>
            </w:pPr>
          </w:p>
          <w:p w14:paraId="17DB6F6E"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资产管理系统和房产系统核查，固定资产调拨单，部门（单位）提交材料及工作记录等。</w:t>
            </w:r>
          </w:p>
          <w:p w14:paraId="584E8F9F" w14:textId="77777777" w:rsidR="00D90FAD" w:rsidRPr="00D90FAD" w:rsidRDefault="00D90FAD" w:rsidP="00D90FAD">
            <w:pPr>
              <w:rPr>
                <w:rFonts w:ascii="宋体" w:eastAsia="宋体" w:hAnsi="宋体" w:cs="宋体"/>
                <w:szCs w:val="24"/>
              </w:rPr>
            </w:pPr>
          </w:p>
          <w:p w14:paraId="58E8BD99" w14:textId="77777777" w:rsidR="00D90FAD" w:rsidRPr="00D90FAD" w:rsidRDefault="00D90FAD" w:rsidP="00D90FAD">
            <w:pPr>
              <w:rPr>
                <w:rFonts w:ascii="宋体" w:eastAsia="宋体" w:hAnsi="宋体" w:cs="宋体"/>
                <w:szCs w:val="24"/>
              </w:rPr>
            </w:pPr>
          </w:p>
        </w:tc>
        <w:tc>
          <w:tcPr>
            <w:tcW w:w="709" w:type="dxa"/>
            <w:vMerge w:val="restart"/>
            <w:tcBorders>
              <w:top w:val="single" w:sz="4" w:space="0" w:color="auto"/>
              <w:right w:val="single" w:sz="4" w:space="0" w:color="auto"/>
            </w:tcBorders>
            <w:vAlign w:val="center"/>
          </w:tcPr>
          <w:p w14:paraId="73BE7391" w14:textId="77777777" w:rsidR="00D90FAD" w:rsidRPr="00D90FAD" w:rsidRDefault="00D90FAD" w:rsidP="00D90FAD">
            <w:pPr>
              <w:jc w:val="center"/>
              <w:rPr>
                <w:rFonts w:ascii="宋体" w:eastAsia="宋体" w:hAnsi="宋体" w:cs="宋体"/>
                <w:szCs w:val="24"/>
              </w:rPr>
            </w:pPr>
          </w:p>
        </w:tc>
      </w:tr>
      <w:tr w:rsidR="00D90FAD" w:rsidRPr="00D90FAD" w14:paraId="53A3A5AE" w14:textId="77777777" w:rsidTr="00D90FAD">
        <w:trPr>
          <w:trHeight w:val="1822"/>
        </w:trPr>
        <w:tc>
          <w:tcPr>
            <w:tcW w:w="1134" w:type="dxa"/>
            <w:vMerge/>
          </w:tcPr>
          <w:p w14:paraId="637BED14" w14:textId="77777777" w:rsidR="00D90FAD" w:rsidRPr="00D90FAD" w:rsidRDefault="00D90FAD" w:rsidP="00D90FAD">
            <w:pPr>
              <w:jc w:val="center"/>
              <w:rPr>
                <w:rFonts w:ascii="宋体" w:eastAsia="宋体" w:hAnsi="宋体" w:cs="宋体"/>
                <w:szCs w:val="24"/>
              </w:rPr>
            </w:pPr>
          </w:p>
        </w:tc>
        <w:tc>
          <w:tcPr>
            <w:tcW w:w="1275" w:type="dxa"/>
            <w:vMerge/>
            <w:tcBorders>
              <w:bottom w:val="single" w:sz="4" w:space="0" w:color="auto"/>
            </w:tcBorders>
            <w:vAlign w:val="center"/>
          </w:tcPr>
          <w:p w14:paraId="2442F64D" w14:textId="77777777" w:rsidR="00D90FAD" w:rsidRPr="00D90FAD" w:rsidRDefault="00D90FAD" w:rsidP="00D90FAD">
            <w:pPr>
              <w:jc w:val="center"/>
              <w:rPr>
                <w:rFonts w:ascii="宋体" w:eastAsia="宋体" w:hAnsi="宋体" w:cs="宋体"/>
                <w:szCs w:val="24"/>
              </w:rPr>
            </w:pPr>
          </w:p>
        </w:tc>
        <w:tc>
          <w:tcPr>
            <w:tcW w:w="709" w:type="dxa"/>
            <w:vAlign w:val="center"/>
          </w:tcPr>
          <w:p w14:paraId="37EFC03D"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4</w:t>
            </w:r>
          </w:p>
        </w:tc>
        <w:tc>
          <w:tcPr>
            <w:tcW w:w="3402" w:type="dxa"/>
            <w:vAlign w:val="center"/>
          </w:tcPr>
          <w:p w14:paraId="03AEBCF4"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人员调动、调离、退休后，资产变动按规定程序办理。资产存放地点等信息发生变动是否在系统中及时进行更新变动，是否有纸质交接材料。</w:t>
            </w:r>
          </w:p>
        </w:tc>
        <w:tc>
          <w:tcPr>
            <w:tcW w:w="3544" w:type="dxa"/>
            <w:vAlign w:val="center"/>
          </w:tcPr>
          <w:p w14:paraId="6193997B"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人员岗位调整时，及时办理调拨手续得1分；调离、退休人员及时交还资产得1分；人员及存放地点一一对应得2分。</w:t>
            </w:r>
          </w:p>
        </w:tc>
        <w:tc>
          <w:tcPr>
            <w:tcW w:w="2268" w:type="dxa"/>
            <w:vMerge/>
            <w:vAlign w:val="center"/>
          </w:tcPr>
          <w:p w14:paraId="7673F067" w14:textId="77777777" w:rsidR="00D90FAD" w:rsidRPr="00D90FAD" w:rsidRDefault="00D90FAD" w:rsidP="00D90FAD">
            <w:pPr>
              <w:jc w:val="center"/>
              <w:rPr>
                <w:rFonts w:ascii="宋体" w:eastAsia="宋体" w:hAnsi="宋体" w:cs="宋体"/>
                <w:szCs w:val="24"/>
              </w:rPr>
            </w:pPr>
          </w:p>
        </w:tc>
        <w:tc>
          <w:tcPr>
            <w:tcW w:w="709" w:type="dxa"/>
            <w:vMerge/>
            <w:tcBorders>
              <w:right w:val="single" w:sz="4" w:space="0" w:color="auto"/>
            </w:tcBorders>
            <w:vAlign w:val="center"/>
          </w:tcPr>
          <w:p w14:paraId="58DA8EC3" w14:textId="77777777" w:rsidR="00D90FAD" w:rsidRPr="00D90FAD" w:rsidRDefault="00D90FAD" w:rsidP="00D90FAD">
            <w:pPr>
              <w:jc w:val="center"/>
              <w:rPr>
                <w:rFonts w:ascii="宋体" w:eastAsia="宋体" w:hAnsi="宋体" w:cs="宋体"/>
                <w:szCs w:val="24"/>
              </w:rPr>
            </w:pPr>
          </w:p>
        </w:tc>
      </w:tr>
      <w:tr w:rsidR="00D90FAD" w:rsidRPr="00D90FAD" w14:paraId="77D789AB" w14:textId="77777777" w:rsidTr="00175819">
        <w:trPr>
          <w:trHeight w:val="1272"/>
        </w:trPr>
        <w:tc>
          <w:tcPr>
            <w:tcW w:w="1134" w:type="dxa"/>
            <w:vMerge/>
          </w:tcPr>
          <w:p w14:paraId="4817F20E" w14:textId="77777777" w:rsidR="00D90FAD" w:rsidRPr="00D90FAD" w:rsidRDefault="00D90FAD" w:rsidP="00D90FAD">
            <w:pPr>
              <w:jc w:val="center"/>
              <w:rPr>
                <w:rFonts w:ascii="宋体" w:eastAsia="宋体" w:hAnsi="宋体" w:cs="宋体"/>
                <w:szCs w:val="24"/>
              </w:rPr>
            </w:pPr>
          </w:p>
        </w:tc>
        <w:tc>
          <w:tcPr>
            <w:tcW w:w="1275" w:type="dxa"/>
            <w:tcBorders>
              <w:top w:val="single" w:sz="4" w:space="0" w:color="auto"/>
            </w:tcBorders>
            <w:vAlign w:val="center"/>
          </w:tcPr>
          <w:p w14:paraId="59ADE7DD"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调剂利用</w:t>
            </w:r>
          </w:p>
        </w:tc>
        <w:tc>
          <w:tcPr>
            <w:tcW w:w="709" w:type="dxa"/>
            <w:vAlign w:val="center"/>
          </w:tcPr>
          <w:p w14:paraId="7FA4EEE2"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5</w:t>
            </w:r>
          </w:p>
        </w:tc>
        <w:tc>
          <w:tcPr>
            <w:tcW w:w="3402" w:type="dxa"/>
            <w:vAlign w:val="center"/>
          </w:tcPr>
          <w:p w14:paraId="756D5FFD"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部门（单位）对于闲置、利用率不高的资产，应及时提出调剂使用申请，报经审批后，进行调剂处置。</w:t>
            </w:r>
          </w:p>
        </w:tc>
        <w:tc>
          <w:tcPr>
            <w:tcW w:w="3544" w:type="dxa"/>
            <w:vAlign w:val="center"/>
          </w:tcPr>
          <w:p w14:paraId="000871E9"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存在积压、闲置、利用率低下的资产，每件扣1分，扣完5分为止。</w:t>
            </w:r>
          </w:p>
        </w:tc>
        <w:tc>
          <w:tcPr>
            <w:tcW w:w="2268" w:type="dxa"/>
            <w:vMerge/>
            <w:vAlign w:val="center"/>
          </w:tcPr>
          <w:p w14:paraId="5F06BB01" w14:textId="77777777" w:rsidR="00D90FAD" w:rsidRPr="00D90FAD" w:rsidRDefault="00D90FAD" w:rsidP="00D90FAD">
            <w:pPr>
              <w:jc w:val="center"/>
              <w:rPr>
                <w:rFonts w:ascii="宋体" w:eastAsia="宋体" w:hAnsi="宋体" w:cs="宋体"/>
                <w:szCs w:val="24"/>
              </w:rPr>
            </w:pPr>
          </w:p>
        </w:tc>
        <w:tc>
          <w:tcPr>
            <w:tcW w:w="709" w:type="dxa"/>
            <w:vMerge/>
            <w:tcBorders>
              <w:right w:val="single" w:sz="4" w:space="0" w:color="auto"/>
            </w:tcBorders>
            <w:vAlign w:val="center"/>
          </w:tcPr>
          <w:p w14:paraId="2040FA85" w14:textId="77777777" w:rsidR="00D90FAD" w:rsidRPr="00D90FAD" w:rsidRDefault="00D90FAD" w:rsidP="00D90FAD">
            <w:pPr>
              <w:jc w:val="center"/>
              <w:rPr>
                <w:rFonts w:ascii="宋体" w:eastAsia="宋体" w:hAnsi="宋体" w:cs="宋体"/>
                <w:szCs w:val="24"/>
              </w:rPr>
            </w:pPr>
          </w:p>
        </w:tc>
      </w:tr>
      <w:tr w:rsidR="00D90FAD" w:rsidRPr="00D90FAD" w14:paraId="2CF07C5E" w14:textId="77777777" w:rsidTr="00175819">
        <w:trPr>
          <w:trHeight w:val="1131"/>
        </w:trPr>
        <w:tc>
          <w:tcPr>
            <w:tcW w:w="1134" w:type="dxa"/>
            <w:vMerge/>
            <w:tcBorders>
              <w:bottom w:val="single" w:sz="4" w:space="0" w:color="auto"/>
            </w:tcBorders>
          </w:tcPr>
          <w:p w14:paraId="22C95EA8" w14:textId="77777777" w:rsidR="00D90FAD" w:rsidRPr="00D90FAD" w:rsidRDefault="00D90FAD" w:rsidP="00D90FAD">
            <w:pPr>
              <w:jc w:val="center"/>
              <w:rPr>
                <w:rFonts w:ascii="宋体" w:eastAsia="宋体" w:hAnsi="宋体" w:cs="宋体"/>
                <w:szCs w:val="24"/>
              </w:rPr>
            </w:pPr>
          </w:p>
        </w:tc>
        <w:tc>
          <w:tcPr>
            <w:tcW w:w="1275" w:type="dxa"/>
            <w:tcBorders>
              <w:top w:val="single" w:sz="4" w:space="0" w:color="auto"/>
            </w:tcBorders>
            <w:vAlign w:val="center"/>
          </w:tcPr>
          <w:p w14:paraId="22411E7C"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大型设备使用与维护</w:t>
            </w:r>
          </w:p>
        </w:tc>
        <w:tc>
          <w:tcPr>
            <w:tcW w:w="709" w:type="dxa"/>
            <w:vAlign w:val="center"/>
          </w:tcPr>
          <w:p w14:paraId="373B5184"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2</w:t>
            </w:r>
          </w:p>
        </w:tc>
        <w:tc>
          <w:tcPr>
            <w:tcW w:w="3402" w:type="dxa"/>
            <w:vAlign w:val="center"/>
          </w:tcPr>
          <w:p w14:paraId="79B2FFF4"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对大型仪器设备、特种设备定期检测、维护。</w:t>
            </w:r>
          </w:p>
        </w:tc>
        <w:tc>
          <w:tcPr>
            <w:tcW w:w="3544" w:type="dxa"/>
            <w:vAlign w:val="center"/>
          </w:tcPr>
          <w:p w14:paraId="63122D06"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有检测、维护报告或记录（共2分，未定期检测或维护，一次扣1分）。</w:t>
            </w:r>
          </w:p>
        </w:tc>
        <w:tc>
          <w:tcPr>
            <w:tcW w:w="2268" w:type="dxa"/>
            <w:vMerge/>
            <w:tcBorders>
              <w:bottom w:val="single" w:sz="4" w:space="0" w:color="auto"/>
            </w:tcBorders>
            <w:vAlign w:val="center"/>
          </w:tcPr>
          <w:p w14:paraId="4B5622E9" w14:textId="77777777" w:rsidR="00D90FAD" w:rsidRPr="00D90FAD" w:rsidRDefault="00D90FAD" w:rsidP="00D90FAD">
            <w:pPr>
              <w:jc w:val="center"/>
              <w:rPr>
                <w:rFonts w:ascii="宋体" w:eastAsia="宋体" w:hAnsi="宋体" w:cs="宋体"/>
                <w:szCs w:val="24"/>
              </w:rPr>
            </w:pPr>
          </w:p>
        </w:tc>
        <w:tc>
          <w:tcPr>
            <w:tcW w:w="709" w:type="dxa"/>
            <w:vMerge/>
            <w:tcBorders>
              <w:bottom w:val="single" w:sz="4" w:space="0" w:color="auto"/>
              <w:right w:val="single" w:sz="4" w:space="0" w:color="auto"/>
            </w:tcBorders>
            <w:vAlign w:val="center"/>
          </w:tcPr>
          <w:p w14:paraId="4286156B" w14:textId="77777777" w:rsidR="00D90FAD" w:rsidRPr="00D90FAD" w:rsidRDefault="00D90FAD" w:rsidP="00D90FAD">
            <w:pPr>
              <w:jc w:val="center"/>
              <w:rPr>
                <w:rFonts w:ascii="宋体" w:eastAsia="宋体" w:hAnsi="宋体" w:cs="宋体"/>
                <w:szCs w:val="24"/>
              </w:rPr>
            </w:pPr>
          </w:p>
        </w:tc>
      </w:tr>
      <w:tr w:rsidR="00D90FAD" w:rsidRPr="00D90FAD" w14:paraId="12B7EBCB" w14:textId="77777777" w:rsidTr="00175819">
        <w:trPr>
          <w:trHeight w:val="2100"/>
        </w:trPr>
        <w:tc>
          <w:tcPr>
            <w:tcW w:w="1134" w:type="dxa"/>
            <w:vMerge/>
            <w:tcBorders>
              <w:bottom w:val="single" w:sz="4" w:space="0" w:color="auto"/>
            </w:tcBorders>
          </w:tcPr>
          <w:p w14:paraId="20DFFB77" w14:textId="77777777" w:rsidR="00D90FAD" w:rsidRPr="00D90FAD" w:rsidRDefault="00D90FAD" w:rsidP="00D90FAD">
            <w:pPr>
              <w:jc w:val="center"/>
              <w:rPr>
                <w:rFonts w:ascii="宋体" w:eastAsia="宋体" w:hAnsi="宋体" w:cs="宋体"/>
                <w:szCs w:val="24"/>
              </w:rPr>
            </w:pPr>
          </w:p>
        </w:tc>
        <w:tc>
          <w:tcPr>
            <w:tcW w:w="1275" w:type="dxa"/>
            <w:tcBorders>
              <w:top w:val="single" w:sz="4" w:space="0" w:color="auto"/>
            </w:tcBorders>
            <w:vAlign w:val="center"/>
          </w:tcPr>
          <w:p w14:paraId="4BBECB7D" w14:textId="77777777" w:rsidR="00D90FAD" w:rsidRPr="00D90FAD" w:rsidRDefault="00D90FAD" w:rsidP="00D90FAD">
            <w:pPr>
              <w:jc w:val="center"/>
              <w:rPr>
                <w:rFonts w:ascii="宋体" w:eastAsia="宋体" w:hAnsi="宋体" w:cs="宋体"/>
                <w:szCs w:val="24"/>
                <w:highlight w:val="red"/>
              </w:rPr>
            </w:pPr>
            <w:r w:rsidRPr="00D90FAD">
              <w:rPr>
                <w:rFonts w:ascii="宋体" w:eastAsia="宋体" w:hAnsi="宋体" w:cs="宋体" w:hint="eastAsia"/>
                <w:szCs w:val="24"/>
              </w:rPr>
              <w:t>公用房屋管理</w:t>
            </w:r>
          </w:p>
        </w:tc>
        <w:tc>
          <w:tcPr>
            <w:tcW w:w="709" w:type="dxa"/>
            <w:vAlign w:val="center"/>
          </w:tcPr>
          <w:p w14:paraId="71914A48" w14:textId="77777777" w:rsidR="00D90FAD" w:rsidRPr="00D90FAD" w:rsidRDefault="00D90FAD" w:rsidP="00D90FAD">
            <w:pPr>
              <w:jc w:val="center"/>
              <w:rPr>
                <w:rFonts w:ascii="宋体" w:eastAsia="宋体" w:hAnsi="宋体" w:cs="宋体"/>
                <w:szCs w:val="24"/>
                <w:highlight w:val="red"/>
              </w:rPr>
            </w:pPr>
            <w:r w:rsidRPr="00D90FAD">
              <w:rPr>
                <w:rFonts w:ascii="宋体" w:eastAsia="宋体" w:hAnsi="宋体" w:cs="宋体" w:hint="eastAsia"/>
                <w:szCs w:val="24"/>
              </w:rPr>
              <w:t>6</w:t>
            </w:r>
          </w:p>
        </w:tc>
        <w:tc>
          <w:tcPr>
            <w:tcW w:w="3402" w:type="dxa"/>
            <w:vAlign w:val="center"/>
          </w:tcPr>
          <w:p w14:paraId="6DDB9E1F" w14:textId="77777777" w:rsidR="00D90FAD" w:rsidRPr="00D90FAD" w:rsidRDefault="00D90FAD" w:rsidP="00D90FAD">
            <w:pPr>
              <w:rPr>
                <w:rFonts w:ascii="宋体" w:eastAsia="宋体" w:hAnsi="宋体" w:cs="宋体"/>
                <w:szCs w:val="24"/>
                <w:highlight w:val="red"/>
              </w:rPr>
            </w:pPr>
            <w:r w:rsidRPr="00D90FAD">
              <w:rPr>
                <w:rFonts w:ascii="宋体" w:eastAsia="宋体" w:hAnsi="宋体" w:cs="宋体" w:hint="eastAsia"/>
                <w:szCs w:val="24"/>
              </w:rPr>
              <w:t>遵守学校公用房屋管理规定，公用房屋服从学校调配。</w:t>
            </w:r>
          </w:p>
        </w:tc>
        <w:tc>
          <w:tcPr>
            <w:tcW w:w="3544" w:type="dxa"/>
            <w:vAlign w:val="center"/>
          </w:tcPr>
          <w:p w14:paraId="1D4DEFBE" w14:textId="77777777" w:rsidR="00D90FAD" w:rsidRPr="00D90FAD" w:rsidRDefault="00D90FAD" w:rsidP="00D90FAD">
            <w:pPr>
              <w:rPr>
                <w:rFonts w:ascii="宋体" w:eastAsia="宋体" w:hAnsi="宋体" w:cs="宋体"/>
                <w:szCs w:val="24"/>
                <w:highlight w:val="red"/>
              </w:rPr>
            </w:pPr>
            <w:r w:rsidRPr="00D90FAD">
              <w:rPr>
                <w:rFonts w:ascii="宋体" w:eastAsia="宋体" w:hAnsi="宋体" w:cs="宋体" w:hint="eastAsia"/>
                <w:szCs w:val="24"/>
              </w:rPr>
              <w:t>严格执行党政机关办公用房使用标准，</w:t>
            </w:r>
            <w:proofErr w:type="gramStart"/>
            <w:r w:rsidRPr="00D90FAD">
              <w:rPr>
                <w:rFonts w:ascii="宋体" w:eastAsia="宋体" w:hAnsi="宋体" w:cs="宋体" w:hint="eastAsia"/>
                <w:szCs w:val="24"/>
              </w:rPr>
              <w:t>不</w:t>
            </w:r>
            <w:proofErr w:type="gramEnd"/>
            <w:r w:rsidRPr="00D90FAD">
              <w:rPr>
                <w:rFonts w:ascii="宋体" w:eastAsia="宋体" w:hAnsi="宋体" w:cs="宋体" w:hint="eastAsia"/>
                <w:szCs w:val="24"/>
              </w:rPr>
              <w:t>违规使用房屋，无擅自改变房屋结构情况得2分；公用房屋利用高效无闲置情况得2分，主动将闲置房屋上交学校安排使用得2分。</w:t>
            </w:r>
          </w:p>
        </w:tc>
        <w:tc>
          <w:tcPr>
            <w:tcW w:w="2268" w:type="dxa"/>
            <w:vMerge/>
            <w:tcBorders>
              <w:bottom w:val="single" w:sz="4" w:space="0" w:color="auto"/>
            </w:tcBorders>
            <w:vAlign w:val="center"/>
          </w:tcPr>
          <w:p w14:paraId="51F315D4" w14:textId="77777777" w:rsidR="00D90FAD" w:rsidRPr="00D90FAD" w:rsidRDefault="00D90FAD" w:rsidP="00D90FAD">
            <w:pPr>
              <w:jc w:val="center"/>
              <w:rPr>
                <w:rFonts w:ascii="宋体" w:eastAsia="宋体" w:hAnsi="宋体" w:cs="宋体"/>
                <w:szCs w:val="24"/>
              </w:rPr>
            </w:pPr>
          </w:p>
        </w:tc>
        <w:tc>
          <w:tcPr>
            <w:tcW w:w="709" w:type="dxa"/>
            <w:vMerge/>
            <w:tcBorders>
              <w:bottom w:val="single" w:sz="4" w:space="0" w:color="auto"/>
              <w:right w:val="single" w:sz="4" w:space="0" w:color="auto"/>
            </w:tcBorders>
            <w:vAlign w:val="center"/>
          </w:tcPr>
          <w:p w14:paraId="75993CA1" w14:textId="77777777" w:rsidR="00D90FAD" w:rsidRPr="00D90FAD" w:rsidRDefault="00D90FAD" w:rsidP="00D90FAD">
            <w:pPr>
              <w:jc w:val="center"/>
              <w:rPr>
                <w:rFonts w:ascii="宋体" w:eastAsia="宋体" w:hAnsi="宋体" w:cs="宋体"/>
                <w:szCs w:val="24"/>
              </w:rPr>
            </w:pPr>
          </w:p>
        </w:tc>
      </w:tr>
      <w:tr w:rsidR="00D90FAD" w:rsidRPr="00D90FAD" w14:paraId="42A9DF2A" w14:textId="77777777" w:rsidTr="00175819">
        <w:trPr>
          <w:trHeight w:val="405"/>
        </w:trPr>
        <w:tc>
          <w:tcPr>
            <w:tcW w:w="1134" w:type="dxa"/>
            <w:tcBorders>
              <w:right w:val="single" w:sz="4" w:space="0" w:color="auto"/>
            </w:tcBorders>
            <w:vAlign w:val="center"/>
          </w:tcPr>
          <w:p w14:paraId="34DD959A"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lastRenderedPageBreak/>
              <w:t>一级指标</w:t>
            </w:r>
          </w:p>
        </w:tc>
        <w:tc>
          <w:tcPr>
            <w:tcW w:w="1275" w:type="dxa"/>
            <w:tcBorders>
              <w:left w:val="single" w:sz="4" w:space="0" w:color="auto"/>
            </w:tcBorders>
            <w:vAlign w:val="center"/>
          </w:tcPr>
          <w:p w14:paraId="33C0FA08"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二级指标</w:t>
            </w:r>
          </w:p>
        </w:tc>
        <w:tc>
          <w:tcPr>
            <w:tcW w:w="709" w:type="dxa"/>
            <w:vAlign w:val="center"/>
          </w:tcPr>
          <w:p w14:paraId="0D44CA85"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分值</w:t>
            </w:r>
          </w:p>
        </w:tc>
        <w:tc>
          <w:tcPr>
            <w:tcW w:w="3402" w:type="dxa"/>
            <w:vAlign w:val="center"/>
          </w:tcPr>
          <w:p w14:paraId="2319F9FB"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指标解释与评价标准</w:t>
            </w:r>
          </w:p>
        </w:tc>
        <w:tc>
          <w:tcPr>
            <w:tcW w:w="3544" w:type="dxa"/>
            <w:vAlign w:val="center"/>
          </w:tcPr>
          <w:p w14:paraId="3697C55C"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量化评分细则</w:t>
            </w:r>
          </w:p>
        </w:tc>
        <w:tc>
          <w:tcPr>
            <w:tcW w:w="2268" w:type="dxa"/>
            <w:vAlign w:val="center"/>
          </w:tcPr>
          <w:p w14:paraId="777B3695"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评价依据</w:t>
            </w:r>
          </w:p>
        </w:tc>
        <w:tc>
          <w:tcPr>
            <w:tcW w:w="709" w:type="dxa"/>
            <w:tcBorders>
              <w:right w:val="single" w:sz="4" w:space="0" w:color="auto"/>
            </w:tcBorders>
            <w:vAlign w:val="center"/>
          </w:tcPr>
          <w:p w14:paraId="4CE9DC01"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得分</w:t>
            </w:r>
          </w:p>
        </w:tc>
      </w:tr>
      <w:tr w:rsidR="00D90FAD" w:rsidRPr="00D90FAD" w14:paraId="6D3A00BE" w14:textId="77777777" w:rsidTr="00D90FAD">
        <w:trPr>
          <w:trHeight w:val="1843"/>
        </w:trPr>
        <w:tc>
          <w:tcPr>
            <w:tcW w:w="1134" w:type="dxa"/>
            <w:vMerge w:val="restart"/>
            <w:tcBorders>
              <w:top w:val="single" w:sz="4" w:space="0" w:color="auto"/>
            </w:tcBorders>
            <w:vAlign w:val="center"/>
          </w:tcPr>
          <w:p w14:paraId="09E32F12" w14:textId="77777777" w:rsidR="00D90FAD" w:rsidRPr="00D90FAD" w:rsidRDefault="00D90FAD" w:rsidP="00D90FAD">
            <w:pPr>
              <w:jc w:val="center"/>
              <w:rPr>
                <w:rFonts w:ascii="宋体" w:eastAsia="宋体" w:hAnsi="宋体" w:cs="宋体"/>
                <w:szCs w:val="24"/>
              </w:rPr>
            </w:pPr>
          </w:p>
          <w:p w14:paraId="6B916CB9" w14:textId="77777777" w:rsidR="00D90FAD" w:rsidRPr="00D90FAD" w:rsidRDefault="00D90FAD" w:rsidP="00D90FAD">
            <w:pPr>
              <w:jc w:val="center"/>
              <w:rPr>
                <w:rFonts w:ascii="宋体" w:eastAsia="宋体" w:hAnsi="宋体" w:cs="宋体"/>
                <w:szCs w:val="24"/>
              </w:rPr>
            </w:pPr>
          </w:p>
          <w:p w14:paraId="4504F556" w14:textId="77777777" w:rsidR="00D90FAD" w:rsidRPr="00D90FAD" w:rsidRDefault="00D90FAD" w:rsidP="00D90FAD">
            <w:pPr>
              <w:jc w:val="center"/>
              <w:rPr>
                <w:rFonts w:ascii="宋体" w:eastAsia="宋体" w:hAnsi="宋体" w:cs="宋体"/>
                <w:szCs w:val="24"/>
              </w:rPr>
            </w:pPr>
          </w:p>
          <w:p w14:paraId="6A44AF18" w14:textId="77777777" w:rsidR="00D90FAD" w:rsidRPr="00D90FAD" w:rsidRDefault="00D90FAD" w:rsidP="00D90FAD">
            <w:pPr>
              <w:jc w:val="center"/>
              <w:rPr>
                <w:rFonts w:ascii="宋体" w:eastAsia="宋体" w:hAnsi="宋体" w:cs="宋体"/>
                <w:szCs w:val="24"/>
              </w:rPr>
            </w:pPr>
          </w:p>
          <w:p w14:paraId="67FE172A" w14:textId="77777777" w:rsidR="00D90FAD" w:rsidRPr="00D90FAD" w:rsidRDefault="00D90FAD" w:rsidP="00D90FAD">
            <w:pPr>
              <w:jc w:val="center"/>
              <w:rPr>
                <w:rFonts w:ascii="宋体" w:eastAsia="宋体" w:hAnsi="宋体" w:cs="宋体"/>
                <w:szCs w:val="24"/>
              </w:rPr>
            </w:pPr>
          </w:p>
          <w:p w14:paraId="19CB923B"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资产处置</w:t>
            </w:r>
          </w:p>
          <w:p w14:paraId="31B5B175"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（10分）</w:t>
            </w:r>
          </w:p>
          <w:p w14:paraId="2265AF0C" w14:textId="77777777" w:rsidR="00D90FAD" w:rsidRPr="00D90FAD" w:rsidRDefault="00D90FAD" w:rsidP="00D90FAD">
            <w:pPr>
              <w:jc w:val="center"/>
              <w:rPr>
                <w:rFonts w:ascii="宋体" w:eastAsia="宋体" w:hAnsi="宋体" w:cs="宋体"/>
                <w:szCs w:val="24"/>
              </w:rPr>
            </w:pPr>
          </w:p>
          <w:p w14:paraId="31F91529" w14:textId="77777777" w:rsidR="00D90FAD" w:rsidRPr="00D90FAD" w:rsidRDefault="00D90FAD" w:rsidP="00D90FAD">
            <w:pPr>
              <w:jc w:val="center"/>
              <w:rPr>
                <w:rFonts w:ascii="宋体" w:eastAsia="宋体" w:hAnsi="宋体" w:cs="宋体"/>
                <w:szCs w:val="24"/>
              </w:rPr>
            </w:pPr>
          </w:p>
          <w:p w14:paraId="3BAD8968" w14:textId="77777777" w:rsidR="00D90FAD" w:rsidRPr="00D90FAD" w:rsidRDefault="00D90FAD" w:rsidP="00D90FAD">
            <w:pPr>
              <w:rPr>
                <w:rFonts w:ascii="宋体" w:eastAsia="宋体" w:hAnsi="宋体" w:cs="宋体"/>
                <w:szCs w:val="24"/>
              </w:rPr>
            </w:pPr>
          </w:p>
        </w:tc>
        <w:tc>
          <w:tcPr>
            <w:tcW w:w="1275" w:type="dxa"/>
            <w:tcBorders>
              <w:bottom w:val="single" w:sz="4" w:space="0" w:color="auto"/>
            </w:tcBorders>
            <w:vAlign w:val="center"/>
          </w:tcPr>
          <w:p w14:paraId="0B7D2783"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审批程序</w:t>
            </w:r>
          </w:p>
        </w:tc>
        <w:tc>
          <w:tcPr>
            <w:tcW w:w="709" w:type="dxa"/>
            <w:vAlign w:val="center"/>
          </w:tcPr>
          <w:p w14:paraId="5B618010"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5</w:t>
            </w:r>
          </w:p>
        </w:tc>
        <w:tc>
          <w:tcPr>
            <w:tcW w:w="3402" w:type="dxa"/>
            <w:vAlign w:val="center"/>
          </w:tcPr>
          <w:p w14:paraId="467ADDD9"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报废、报损等处置手续要完备，履行技术鉴定、论证等手续。</w:t>
            </w:r>
          </w:p>
        </w:tc>
        <w:tc>
          <w:tcPr>
            <w:tcW w:w="3544" w:type="dxa"/>
            <w:tcBorders>
              <w:bottom w:val="single" w:sz="4" w:space="0" w:color="auto"/>
            </w:tcBorders>
            <w:vAlign w:val="center"/>
          </w:tcPr>
          <w:p w14:paraId="729DA738"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拟报废资产在省教育厅调剂平台发布调剂公告得2分，及时提交报废资产可行性论证材料、资产处置申请单，可行性论证充分，申请单填写完整得3分。</w:t>
            </w:r>
          </w:p>
        </w:tc>
        <w:tc>
          <w:tcPr>
            <w:tcW w:w="2268" w:type="dxa"/>
            <w:vMerge w:val="restart"/>
            <w:vAlign w:val="center"/>
          </w:tcPr>
          <w:p w14:paraId="252503EF"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资产管理系统核查，查看部门（单位）提交的资产处置材料。</w:t>
            </w:r>
          </w:p>
        </w:tc>
        <w:tc>
          <w:tcPr>
            <w:tcW w:w="709" w:type="dxa"/>
            <w:vMerge w:val="restart"/>
            <w:tcBorders>
              <w:top w:val="single" w:sz="4" w:space="0" w:color="auto"/>
              <w:right w:val="single" w:sz="4" w:space="0" w:color="auto"/>
            </w:tcBorders>
            <w:vAlign w:val="center"/>
          </w:tcPr>
          <w:p w14:paraId="1814B394" w14:textId="77777777" w:rsidR="00D90FAD" w:rsidRPr="00D90FAD" w:rsidRDefault="00D90FAD" w:rsidP="00D90FAD">
            <w:pPr>
              <w:jc w:val="center"/>
              <w:rPr>
                <w:rFonts w:ascii="宋体" w:eastAsia="宋体" w:hAnsi="宋体" w:cs="宋体"/>
                <w:szCs w:val="24"/>
              </w:rPr>
            </w:pPr>
          </w:p>
        </w:tc>
      </w:tr>
      <w:tr w:rsidR="00D90FAD" w:rsidRPr="00D90FAD" w14:paraId="31433F3E" w14:textId="77777777" w:rsidTr="00D90FAD">
        <w:trPr>
          <w:trHeight w:val="1272"/>
        </w:trPr>
        <w:tc>
          <w:tcPr>
            <w:tcW w:w="1134" w:type="dxa"/>
            <w:vMerge/>
            <w:tcBorders>
              <w:bottom w:val="single" w:sz="4" w:space="0" w:color="auto"/>
            </w:tcBorders>
          </w:tcPr>
          <w:p w14:paraId="653B59E7" w14:textId="77777777" w:rsidR="00D90FAD" w:rsidRPr="00D90FAD" w:rsidRDefault="00D90FAD" w:rsidP="00D90FAD">
            <w:pPr>
              <w:rPr>
                <w:rFonts w:ascii="宋体" w:eastAsia="宋体" w:hAnsi="宋体" w:cs="宋体"/>
                <w:szCs w:val="24"/>
              </w:rPr>
            </w:pPr>
          </w:p>
        </w:tc>
        <w:tc>
          <w:tcPr>
            <w:tcW w:w="1275" w:type="dxa"/>
            <w:tcBorders>
              <w:top w:val="single" w:sz="4" w:space="0" w:color="auto"/>
              <w:bottom w:val="single" w:sz="4" w:space="0" w:color="auto"/>
            </w:tcBorders>
            <w:vAlign w:val="center"/>
          </w:tcPr>
          <w:p w14:paraId="30F4EDE0"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处置管理</w:t>
            </w:r>
          </w:p>
        </w:tc>
        <w:tc>
          <w:tcPr>
            <w:tcW w:w="709" w:type="dxa"/>
            <w:vAlign w:val="center"/>
          </w:tcPr>
          <w:p w14:paraId="3F5686FD"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5</w:t>
            </w:r>
          </w:p>
        </w:tc>
        <w:tc>
          <w:tcPr>
            <w:tcW w:w="3402" w:type="dxa"/>
            <w:vAlign w:val="center"/>
          </w:tcPr>
          <w:p w14:paraId="75855EDD"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配合做好处置过程中各项工作。</w:t>
            </w:r>
          </w:p>
        </w:tc>
        <w:tc>
          <w:tcPr>
            <w:tcW w:w="3544" w:type="dxa"/>
            <w:vAlign w:val="center"/>
          </w:tcPr>
          <w:p w14:paraId="18954504"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按要求进行处置资产账物核对，并签字确认得2分；配合做好收缴处置资产的集中存放工作得3分。</w:t>
            </w:r>
          </w:p>
        </w:tc>
        <w:tc>
          <w:tcPr>
            <w:tcW w:w="2268" w:type="dxa"/>
            <w:vMerge/>
            <w:tcBorders>
              <w:bottom w:val="single" w:sz="4" w:space="0" w:color="auto"/>
            </w:tcBorders>
            <w:vAlign w:val="center"/>
          </w:tcPr>
          <w:p w14:paraId="31856054" w14:textId="77777777" w:rsidR="00D90FAD" w:rsidRPr="00D90FAD" w:rsidRDefault="00D90FAD" w:rsidP="00D90FAD">
            <w:pPr>
              <w:rPr>
                <w:rFonts w:ascii="宋体" w:eastAsia="宋体" w:hAnsi="宋体" w:cs="宋体"/>
                <w:szCs w:val="24"/>
              </w:rPr>
            </w:pPr>
          </w:p>
        </w:tc>
        <w:tc>
          <w:tcPr>
            <w:tcW w:w="709" w:type="dxa"/>
            <w:vMerge/>
            <w:tcBorders>
              <w:right w:val="single" w:sz="4" w:space="0" w:color="auto"/>
            </w:tcBorders>
            <w:vAlign w:val="center"/>
          </w:tcPr>
          <w:p w14:paraId="64CD40FE" w14:textId="77777777" w:rsidR="00D90FAD" w:rsidRPr="00D90FAD" w:rsidRDefault="00D90FAD" w:rsidP="00D90FAD">
            <w:pPr>
              <w:rPr>
                <w:rFonts w:ascii="宋体" w:eastAsia="宋体" w:hAnsi="宋体" w:cs="宋体"/>
                <w:szCs w:val="24"/>
              </w:rPr>
            </w:pPr>
          </w:p>
        </w:tc>
      </w:tr>
      <w:tr w:rsidR="00D90FAD" w:rsidRPr="00D90FAD" w14:paraId="4EAFFACE" w14:textId="77777777" w:rsidTr="00175819">
        <w:trPr>
          <w:trHeight w:val="692"/>
        </w:trPr>
        <w:tc>
          <w:tcPr>
            <w:tcW w:w="1134" w:type="dxa"/>
            <w:vMerge w:val="restart"/>
            <w:tcBorders>
              <w:top w:val="single" w:sz="4" w:space="0" w:color="auto"/>
            </w:tcBorders>
            <w:vAlign w:val="center"/>
          </w:tcPr>
          <w:p w14:paraId="7BDE07BC" w14:textId="77777777" w:rsidR="00D90FAD" w:rsidRPr="00D90FAD" w:rsidRDefault="00D90FAD" w:rsidP="00D90FAD">
            <w:pPr>
              <w:jc w:val="center"/>
              <w:rPr>
                <w:rFonts w:ascii="宋体" w:eastAsia="宋体" w:hAnsi="宋体" w:cs="宋体"/>
                <w:szCs w:val="24"/>
              </w:rPr>
            </w:pPr>
          </w:p>
          <w:p w14:paraId="0FDBABD0" w14:textId="77777777" w:rsidR="00D90FAD" w:rsidRPr="00D90FAD" w:rsidRDefault="00D90FAD" w:rsidP="00D90FAD">
            <w:pPr>
              <w:jc w:val="center"/>
              <w:rPr>
                <w:rFonts w:ascii="宋体" w:eastAsia="宋体" w:hAnsi="宋体" w:cs="宋体"/>
                <w:szCs w:val="24"/>
              </w:rPr>
            </w:pPr>
          </w:p>
          <w:p w14:paraId="795B0F6B" w14:textId="77777777" w:rsidR="00D90FAD" w:rsidRPr="00D90FAD" w:rsidRDefault="00D90FAD" w:rsidP="00D90FAD">
            <w:pPr>
              <w:jc w:val="center"/>
              <w:rPr>
                <w:rFonts w:ascii="宋体" w:eastAsia="宋体" w:hAnsi="宋体" w:cs="宋体"/>
                <w:szCs w:val="24"/>
              </w:rPr>
            </w:pPr>
          </w:p>
          <w:p w14:paraId="356B794D" w14:textId="77777777" w:rsidR="00D90FAD" w:rsidRPr="00D90FAD" w:rsidRDefault="00D90FAD" w:rsidP="00D90FAD">
            <w:pPr>
              <w:jc w:val="center"/>
              <w:rPr>
                <w:rFonts w:ascii="宋体" w:eastAsia="宋体" w:hAnsi="宋体" w:cs="宋体"/>
                <w:szCs w:val="24"/>
              </w:rPr>
            </w:pPr>
          </w:p>
          <w:p w14:paraId="77195B82" w14:textId="77777777" w:rsidR="00D90FAD" w:rsidRPr="00D90FAD" w:rsidRDefault="00D90FAD" w:rsidP="00D90FAD">
            <w:pPr>
              <w:jc w:val="center"/>
              <w:rPr>
                <w:rFonts w:ascii="宋体" w:eastAsia="宋体" w:hAnsi="宋体" w:cs="宋体"/>
                <w:szCs w:val="24"/>
              </w:rPr>
            </w:pPr>
          </w:p>
          <w:p w14:paraId="22D87095" w14:textId="77777777" w:rsidR="00D90FAD" w:rsidRPr="00D90FAD" w:rsidRDefault="00D90FAD" w:rsidP="00D90FAD">
            <w:pPr>
              <w:jc w:val="center"/>
              <w:rPr>
                <w:rFonts w:ascii="宋体" w:eastAsia="宋体" w:hAnsi="宋体" w:cs="宋体"/>
                <w:szCs w:val="24"/>
              </w:rPr>
            </w:pPr>
          </w:p>
          <w:p w14:paraId="6463BC66"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基础管理</w:t>
            </w:r>
          </w:p>
          <w:p w14:paraId="613F7EB4"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（35分）</w:t>
            </w:r>
          </w:p>
          <w:p w14:paraId="5BEC9D93" w14:textId="77777777" w:rsidR="00D90FAD" w:rsidRPr="00D90FAD" w:rsidRDefault="00D90FAD" w:rsidP="00D90FAD">
            <w:pPr>
              <w:jc w:val="center"/>
              <w:rPr>
                <w:rFonts w:ascii="宋体" w:eastAsia="宋体" w:hAnsi="宋体" w:cs="宋体"/>
                <w:szCs w:val="24"/>
              </w:rPr>
            </w:pPr>
          </w:p>
          <w:p w14:paraId="1F65F69B" w14:textId="77777777" w:rsidR="00D90FAD" w:rsidRPr="00D90FAD" w:rsidRDefault="00D90FAD" w:rsidP="00D90FAD">
            <w:pPr>
              <w:jc w:val="center"/>
              <w:rPr>
                <w:rFonts w:ascii="宋体" w:eastAsia="宋体" w:hAnsi="宋体" w:cs="宋体"/>
                <w:szCs w:val="24"/>
              </w:rPr>
            </w:pPr>
          </w:p>
        </w:tc>
        <w:tc>
          <w:tcPr>
            <w:tcW w:w="1275" w:type="dxa"/>
            <w:vMerge w:val="restart"/>
            <w:tcBorders>
              <w:top w:val="single" w:sz="4" w:space="0" w:color="auto"/>
            </w:tcBorders>
            <w:vAlign w:val="center"/>
          </w:tcPr>
          <w:p w14:paraId="25B268DC"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信息化管理</w:t>
            </w:r>
          </w:p>
        </w:tc>
        <w:tc>
          <w:tcPr>
            <w:tcW w:w="709" w:type="dxa"/>
            <w:vAlign w:val="center"/>
          </w:tcPr>
          <w:p w14:paraId="486D7D83"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2</w:t>
            </w:r>
          </w:p>
        </w:tc>
        <w:tc>
          <w:tcPr>
            <w:tcW w:w="3402" w:type="dxa"/>
            <w:vAlign w:val="center"/>
          </w:tcPr>
          <w:p w14:paraId="2B74F045"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部门（单位）各项国有资产统一纳入信息化系统管理，不存在账外资产。</w:t>
            </w:r>
          </w:p>
        </w:tc>
        <w:tc>
          <w:tcPr>
            <w:tcW w:w="3544" w:type="dxa"/>
            <w:vAlign w:val="center"/>
          </w:tcPr>
          <w:p w14:paraId="40324D33"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使用资产管理信息系统进行各项资产管理得2分。</w:t>
            </w:r>
          </w:p>
        </w:tc>
        <w:tc>
          <w:tcPr>
            <w:tcW w:w="2268" w:type="dxa"/>
            <w:tcBorders>
              <w:bottom w:val="single" w:sz="4" w:space="0" w:color="auto"/>
            </w:tcBorders>
            <w:vAlign w:val="center"/>
          </w:tcPr>
          <w:p w14:paraId="64C877F7"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自查，资产管理系统核查。</w:t>
            </w:r>
          </w:p>
        </w:tc>
        <w:tc>
          <w:tcPr>
            <w:tcW w:w="709" w:type="dxa"/>
            <w:tcBorders>
              <w:right w:val="single" w:sz="4" w:space="0" w:color="auto"/>
            </w:tcBorders>
            <w:vAlign w:val="center"/>
          </w:tcPr>
          <w:p w14:paraId="79AF21C8" w14:textId="77777777" w:rsidR="00D90FAD" w:rsidRPr="00D90FAD" w:rsidRDefault="00D90FAD" w:rsidP="00D90FAD">
            <w:pPr>
              <w:jc w:val="center"/>
              <w:rPr>
                <w:rFonts w:ascii="宋体" w:eastAsia="宋体" w:hAnsi="宋体" w:cs="宋体"/>
                <w:szCs w:val="24"/>
              </w:rPr>
            </w:pPr>
          </w:p>
        </w:tc>
      </w:tr>
      <w:tr w:rsidR="00D90FAD" w:rsidRPr="00D90FAD" w14:paraId="5C7F9E45" w14:textId="77777777" w:rsidTr="00D90FAD">
        <w:trPr>
          <w:trHeight w:val="1871"/>
        </w:trPr>
        <w:tc>
          <w:tcPr>
            <w:tcW w:w="1134" w:type="dxa"/>
            <w:vMerge/>
          </w:tcPr>
          <w:p w14:paraId="50358222" w14:textId="77777777" w:rsidR="00D90FAD" w:rsidRPr="00D90FAD" w:rsidRDefault="00D90FAD" w:rsidP="00D90FAD">
            <w:pPr>
              <w:rPr>
                <w:rFonts w:ascii="宋体" w:eastAsia="宋体" w:hAnsi="宋体" w:cs="宋体"/>
                <w:szCs w:val="24"/>
              </w:rPr>
            </w:pPr>
          </w:p>
        </w:tc>
        <w:tc>
          <w:tcPr>
            <w:tcW w:w="1275" w:type="dxa"/>
            <w:vMerge/>
            <w:vAlign w:val="center"/>
          </w:tcPr>
          <w:p w14:paraId="2FCE2F44" w14:textId="77777777" w:rsidR="00D90FAD" w:rsidRPr="00D90FAD" w:rsidRDefault="00D90FAD" w:rsidP="00D90FAD">
            <w:pPr>
              <w:jc w:val="center"/>
              <w:rPr>
                <w:rFonts w:ascii="宋体" w:eastAsia="宋体" w:hAnsi="宋体" w:cs="宋体"/>
                <w:szCs w:val="24"/>
              </w:rPr>
            </w:pPr>
          </w:p>
        </w:tc>
        <w:tc>
          <w:tcPr>
            <w:tcW w:w="709" w:type="dxa"/>
            <w:vAlign w:val="center"/>
          </w:tcPr>
          <w:p w14:paraId="13F8002C"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10</w:t>
            </w:r>
          </w:p>
        </w:tc>
        <w:tc>
          <w:tcPr>
            <w:tcW w:w="3402" w:type="dxa"/>
            <w:vAlign w:val="center"/>
          </w:tcPr>
          <w:p w14:paraId="2C2B61DD"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系统维护正常，各模块功能使用正常；资产变动、处置等进行动态管理，资产管理信息系统数据实时更新。</w:t>
            </w:r>
          </w:p>
          <w:p w14:paraId="175638E0" w14:textId="77777777" w:rsidR="00D90FAD" w:rsidRPr="00D90FAD" w:rsidRDefault="00D90FAD" w:rsidP="00D90FAD">
            <w:pPr>
              <w:rPr>
                <w:rFonts w:ascii="宋体" w:eastAsia="宋体" w:hAnsi="宋体" w:cs="宋体"/>
                <w:szCs w:val="24"/>
              </w:rPr>
            </w:pPr>
          </w:p>
        </w:tc>
        <w:tc>
          <w:tcPr>
            <w:tcW w:w="3544" w:type="dxa"/>
            <w:vAlign w:val="center"/>
          </w:tcPr>
          <w:p w14:paraId="61D097D4"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熟练操作国有资产管理信息系统得2分。系统中各部门（单位）人员信息维护及时得4分；资产存放地等信息变更及时得4分(抽查数据未更新的每条信息扣2分，扣完8分为止)。</w:t>
            </w:r>
          </w:p>
        </w:tc>
        <w:tc>
          <w:tcPr>
            <w:tcW w:w="2268" w:type="dxa"/>
            <w:tcBorders>
              <w:bottom w:val="single" w:sz="4" w:space="0" w:color="auto"/>
            </w:tcBorders>
            <w:vAlign w:val="center"/>
          </w:tcPr>
          <w:p w14:paraId="1A5D9189"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自查，资产管理系统核查，现场抽查。</w:t>
            </w:r>
          </w:p>
        </w:tc>
        <w:tc>
          <w:tcPr>
            <w:tcW w:w="709" w:type="dxa"/>
            <w:tcBorders>
              <w:right w:val="single" w:sz="4" w:space="0" w:color="auto"/>
            </w:tcBorders>
          </w:tcPr>
          <w:p w14:paraId="12A4EF5E" w14:textId="77777777" w:rsidR="00D90FAD" w:rsidRPr="00D90FAD" w:rsidRDefault="00D90FAD" w:rsidP="00D90FAD">
            <w:pPr>
              <w:rPr>
                <w:rFonts w:ascii="宋体" w:eastAsia="宋体" w:hAnsi="宋体" w:cs="宋体"/>
                <w:szCs w:val="24"/>
              </w:rPr>
            </w:pPr>
          </w:p>
        </w:tc>
      </w:tr>
      <w:tr w:rsidR="00D90FAD" w:rsidRPr="00D90FAD" w14:paraId="320F049A" w14:textId="77777777" w:rsidTr="00175819">
        <w:trPr>
          <w:trHeight w:val="1132"/>
        </w:trPr>
        <w:tc>
          <w:tcPr>
            <w:tcW w:w="1134" w:type="dxa"/>
            <w:vMerge/>
          </w:tcPr>
          <w:p w14:paraId="26E7B4F4" w14:textId="77777777" w:rsidR="00D90FAD" w:rsidRPr="00D90FAD" w:rsidRDefault="00D90FAD" w:rsidP="00D90FAD">
            <w:pPr>
              <w:rPr>
                <w:rFonts w:ascii="Times New Roman" w:eastAsia="宋体" w:hAnsi="Times New Roman" w:cs="Times New Roman"/>
                <w:szCs w:val="24"/>
              </w:rPr>
            </w:pPr>
          </w:p>
        </w:tc>
        <w:tc>
          <w:tcPr>
            <w:tcW w:w="1275" w:type="dxa"/>
            <w:vMerge/>
            <w:tcBorders>
              <w:bottom w:val="single" w:sz="4" w:space="0" w:color="auto"/>
            </w:tcBorders>
            <w:vAlign w:val="center"/>
          </w:tcPr>
          <w:p w14:paraId="2215C018" w14:textId="77777777" w:rsidR="00D90FAD" w:rsidRPr="00D90FAD" w:rsidRDefault="00D90FAD" w:rsidP="00D90FAD">
            <w:pPr>
              <w:jc w:val="center"/>
              <w:rPr>
                <w:rFonts w:ascii="宋体" w:eastAsia="宋体" w:hAnsi="宋体" w:cs="宋体"/>
                <w:szCs w:val="24"/>
              </w:rPr>
            </w:pPr>
          </w:p>
        </w:tc>
        <w:tc>
          <w:tcPr>
            <w:tcW w:w="709" w:type="dxa"/>
            <w:vAlign w:val="center"/>
          </w:tcPr>
          <w:p w14:paraId="37772F30"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7</w:t>
            </w:r>
          </w:p>
        </w:tc>
        <w:tc>
          <w:tcPr>
            <w:tcW w:w="3402" w:type="dxa"/>
            <w:vAlign w:val="center"/>
          </w:tcPr>
          <w:p w14:paraId="725A0F70"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标签粘贴完好</w:t>
            </w:r>
          </w:p>
        </w:tc>
        <w:tc>
          <w:tcPr>
            <w:tcW w:w="3544" w:type="dxa"/>
            <w:vAlign w:val="center"/>
          </w:tcPr>
          <w:p w14:paraId="040F3513"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标签张贴完整得3分，（抽查资产中，未粘贴标签的每条扣1分，最高扣3分）；标签与资产信息一致得4分（抽查不一致每条扣1分，扣完4分为止）。</w:t>
            </w:r>
          </w:p>
        </w:tc>
        <w:tc>
          <w:tcPr>
            <w:tcW w:w="2268" w:type="dxa"/>
            <w:tcBorders>
              <w:bottom w:val="single" w:sz="4" w:space="0" w:color="auto"/>
            </w:tcBorders>
            <w:vAlign w:val="center"/>
          </w:tcPr>
          <w:p w14:paraId="5673D744"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自查，资产管理系统核查，现场抽查。</w:t>
            </w:r>
          </w:p>
        </w:tc>
        <w:tc>
          <w:tcPr>
            <w:tcW w:w="709" w:type="dxa"/>
            <w:tcBorders>
              <w:right w:val="single" w:sz="4" w:space="0" w:color="auto"/>
            </w:tcBorders>
            <w:vAlign w:val="center"/>
          </w:tcPr>
          <w:p w14:paraId="351642D7" w14:textId="77777777" w:rsidR="00D90FAD" w:rsidRPr="00D90FAD" w:rsidRDefault="00D90FAD" w:rsidP="00D90FAD">
            <w:pPr>
              <w:rPr>
                <w:rFonts w:ascii="宋体" w:eastAsia="宋体" w:hAnsi="宋体" w:cs="宋体"/>
                <w:szCs w:val="24"/>
              </w:rPr>
            </w:pPr>
          </w:p>
        </w:tc>
      </w:tr>
      <w:tr w:rsidR="00D90FAD" w:rsidRPr="00D90FAD" w14:paraId="4073CFA3" w14:textId="77777777" w:rsidTr="00175819">
        <w:trPr>
          <w:trHeight w:val="550"/>
        </w:trPr>
        <w:tc>
          <w:tcPr>
            <w:tcW w:w="1134" w:type="dxa"/>
            <w:tcBorders>
              <w:bottom w:val="single" w:sz="4" w:space="0" w:color="auto"/>
            </w:tcBorders>
            <w:vAlign w:val="center"/>
          </w:tcPr>
          <w:p w14:paraId="05306144" w14:textId="77777777" w:rsidR="00D90FAD" w:rsidRPr="00D90FAD" w:rsidRDefault="00D90FAD" w:rsidP="00D90FAD">
            <w:pPr>
              <w:jc w:val="center"/>
              <w:rPr>
                <w:rFonts w:ascii="Times New Roman" w:eastAsia="宋体" w:hAnsi="Times New Roman" w:cs="Times New Roman"/>
                <w:szCs w:val="24"/>
              </w:rPr>
            </w:pPr>
            <w:r w:rsidRPr="00D90FAD">
              <w:rPr>
                <w:rFonts w:ascii="宋体" w:eastAsia="宋体" w:hAnsi="宋体" w:cs="宋体" w:hint="eastAsia"/>
                <w:b/>
                <w:szCs w:val="24"/>
              </w:rPr>
              <w:lastRenderedPageBreak/>
              <w:t>一级指标</w:t>
            </w:r>
          </w:p>
        </w:tc>
        <w:tc>
          <w:tcPr>
            <w:tcW w:w="1275" w:type="dxa"/>
            <w:tcBorders>
              <w:top w:val="single" w:sz="4" w:space="0" w:color="auto"/>
            </w:tcBorders>
            <w:vAlign w:val="center"/>
          </w:tcPr>
          <w:p w14:paraId="2C100E99"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b/>
                <w:szCs w:val="24"/>
              </w:rPr>
              <w:t>二级指标</w:t>
            </w:r>
          </w:p>
        </w:tc>
        <w:tc>
          <w:tcPr>
            <w:tcW w:w="709" w:type="dxa"/>
            <w:vAlign w:val="center"/>
          </w:tcPr>
          <w:p w14:paraId="7F0CD374"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b/>
                <w:szCs w:val="24"/>
              </w:rPr>
              <w:t>分值</w:t>
            </w:r>
          </w:p>
        </w:tc>
        <w:tc>
          <w:tcPr>
            <w:tcW w:w="3402" w:type="dxa"/>
            <w:vAlign w:val="center"/>
          </w:tcPr>
          <w:p w14:paraId="2A18FB1C"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b/>
                <w:szCs w:val="24"/>
              </w:rPr>
              <w:t>指标解释与评价标准</w:t>
            </w:r>
          </w:p>
        </w:tc>
        <w:tc>
          <w:tcPr>
            <w:tcW w:w="3544" w:type="dxa"/>
            <w:vAlign w:val="center"/>
          </w:tcPr>
          <w:p w14:paraId="1B661F4A"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b/>
                <w:szCs w:val="24"/>
              </w:rPr>
              <w:t>量化评分细则</w:t>
            </w:r>
          </w:p>
        </w:tc>
        <w:tc>
          <w:tcPr>
            <w:tcW w:w="2268" w:type="dxa"/>
            <w:vAlign w:val="center"/>
          </w:tcPr>
          <w:p w14:paraId="37CB239D"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b/>
                <w:szCs w:val="24"/>
              </w:rPr>
              <w:t>评价依据</w:t>
            </w:r>
          </w:p>
        </w:tc>
        <w:tc>
          <w:tcPr>
            <w:tcW w:w="709" w:type="dxa"/>
            <w:tcBorders>
              <w:right w:val="single" w:sz="4" w:space="0" w:color="auto"/>
            </w:tcBorders>
            <w:vAlign w:val="center"/>
          </w:tcPr>
          <w:p w14:paraId="07220DB0"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b/>
                <w:szCs w:val="24"/>
              </w:rPr>
              <w:t>得分</w:t>
            </w:r>
          </w:p>
        </w:tc>
      </w:tr>
      <w:tr w:rsidR="00D90FAD" w:rsidRPr="00D90FAD" w14:paraId="5740B217" w14:textId="77777777" w:rsidTr="00175819">
        <w:trPr>
          <w:trHeight w:val="1457"/>
        </w:trPr>
        <w:tc>
          <w:tcPr>
            <w:tcW w:w="1134" w:type="dxa"/>
            <w:vMerge w:val="restart"/>
            <w:tcBorders>
              <w:top w:val="single" w:sz="4" w:space="0" w:color="auto"/>
            </w:tcBorders>
            <w:vAlign w:val="center"/>
          </w:tcPr>
          <w:p w14:paraId="35F16A9F" w14:textId="77777777" w:rsidR="00D90FAD" w:rsidRPr="00D90FAD" w:rsidRDefault="00D90FAD" w:rsidP="00D90FAD">
            <w:pPr>
              <w:jc w:val="center"/>
              <w:rPr>
                <w:rFonts w:ascii="宋体" w:eastAsia="宋体" w:hAnsi="宋体" w:cs="宋体"/>
                <w:szCs w:val="24"/>
              </w:rPr>
            </w:pPr>
          </w:p>
          <w:p w14:paraId="09941767" w14:textId="77777777" w:rsidR="00D90FAD" w:rsidRPr="00D90FAD" w:rsidRDefault="00D90FAD" w:rsidP="00D90FAD">
            <w:pPr>
              <w:jc w:val="center"/>
              <w:rPr>
                <w:rFonts w:ascii="宋体" w:eastAsia="宋体" w:hAnsi="宋体" w:cs="宋体"/>
                <w:szCs w:val="24"/>
              </w:rPr>
            </w:pPr>
          </w:p>
          <w:p w14:paraId="11528265"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基础管理</w:t>
            </w:r>
          </w:p>
          <w:p w14:paraId="2561041B"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（35分）</w:t>
            </w:r>
          </w:p>
        </w:tc>
        <w:tc>
          <w:tcPr>
            <w:tcW w:w="1275" w:type="dxa"/>
            <w:vMerge w:val="restart"/>
            <w:tcBorders>
              <w:top w:val="single" w:sz="4" w:space="0" w:color="auto"/>
            </w:tcBorders>
            <w:vAlign w:val="center"/>
          </w:tcPr>
          <w:p w14:paraId="15E7481E"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资产清查</w:t>
            </w:r>
          </w:p>
        </w:tc>
        <w:tc>
          <w:tcPr>
            <w:tcW w:w="709" w:type="dxa"/>
            <w:vAlign w:val="center"/>
          </w:tcPr>
          <w:p w14:paraId="64C6653D"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5</w:t>
            </w:r>
          </w:p>
        </w:tc>
        <w:tc>
          <w:tcPr>
            <w:tcW w:w="3402" w:type="dxa"/>
            <w:vAlign w:val="center"/>
          </w:tcPr>
          <w:p w14:paraId="2A26B3CC"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定期组织资产清查盘点，做到账</w:t>
            </w:r>
            <w:proofErr w:type="gramStart"/>
            <w:r w:rsidRPr="00D90FAD">
              <w:rPr>
                <w:rFonts w:ascii="宋体" w:eastAsia="宋体" w:hAnsi="宋体" w:cs="宋体" w:hint="eastAsia"/>
                <w:szCs w:val="24"/>
              </w:rPr>
              <w:t>账</w:t>
            </w:r>
            <w:proofErr w:type="gramEnd"/>
            <w:r w:rsidRPr="00D90FAD">
              <w:rPr>
                <w:rFonts w:ascii="宋体" w:eastAsia="宋体" w:hAnsi="宋体" w:cs="宋体" w:hint="eastAsia"/>
                <w:szCs w:val="24"/>
              </w:rPr>
              <w:t>、账卡、账实相符；盘盈、盘亏要查明原因，认定责任，及时处理；处理履行相应报批手续。</w:t>
            </w:r>
          </w:p>
        </w:tc>
        <w:tc>
          <w:tcPr>
            <w:tcW w:w="3544" w:type="dxa"/>
            <w:vAlign w:val="center"/>
          </w:tcPr>
          <w:p w14:paraId="29CC5C66"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每年组织资产清查盘点得3分；清查结果和资产核实事项，按规定履行审批程序，对清查中发现的问题及时进行处理得2分。</w:t>
            </w:r>
          </w:p>
        </w:tc>
        <w:tc>
          <w:tcPr>
            <w:tcW w:w="2268" w:type="dxa"/>
            <w:vMerge w:val="restart"/>
            <w:vAlign w:val="center"/>
          </w:tcPr>
          <w:p w14:paraId="20016CE1" w14:textId="77777777" w:rsidR="00D90FAD" w:rsidRPr="00D90FAD" w:rsidRDefault="00D90FAD" w:rsidP="00D90FAD">
            <w:pPr>
              <w:rPr>
                <w:rFonts w:ascii="宋体" w:eastAsia="宋体" w:hAnsi="宋体" w:cs="宋体"/>
                <w:szCs w:val="24"/>
              </w:rPr>
            </w:pPr>
          </w:p>
          <w:p w14:paraId="71BAB393"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自查，资产管理系统核查，部门（单位）提交的自查报告。</w:t>
            </w:r>
          </w:p>
        </w:tc>
        <w:tc>
          <w:tcPr>
            <w:tcW w:w="709" w:type="dxa"/>
            <w:vMerge w:val="restart"/>
            <w:tcBorders>
              <w:right w:val="single" w:sz="4" w:space="0" w:color="auto"/>
            </w:tcBorders>
            <w:vAlign w:val="center"/>
          </w:tcPr>
          <w:p w14:paraId="22880551" w14:textId="77777777" w:rsidR="00D90FAD" w:rsidRPr="00D90FAD" w:rsidRDefault="00D90FAD" w:rsidP="00D90FAD">
            <w:pPr>
              <w:rPr>
                <w:rFonts w:ascii="宋体" w:eastAsia="宋体" w:hAnsi="宋体" w:cs="宋体"/>
                <w:szCs w:val="24"/>
              </w:rPr>
            </w:pPr>
          </w:p>
        </w:tc>
      </w:tr>
      <w:tr w:rsidR="00D90FAD" w:rsidRPr="00D90FAD" w14:paraId="01952D24" w14:textId="77777777" w:rsidTr="00D90FAD">
        <w:trPr>
          <w:trHeight w:val="1227"/>
        </w:trPr>
        <w:tc>
          <w:tcPr>
            <w:tcW w:w="1134" w:type="dxa"/>
            <w:vMerge/>
            <w:vAlign w:val="center"/>
          </w:tcPr>
          <w:p w14:paraId="67FD0900" w14:textId="77777777" w:rsidR="00D90FAD" w:rsidRPr="00D90FAD" w:rsidRDefault="00D90FAD" w:rsidP="00D90FAD">
            <w:pPr>
              <w:jc w:val="center"/>
              <w:rPr>
                <w:rFonts w:ascii="宋体" w:eastAsia="宋体" w:hAnsi="宋体" w:cs="宋体"/>
                <w:szCs w:val="24"/>
              </w:rPr>
            </w:pPr>
          </w:p>
        </w:tc>
        <w:tc>
          <w:tcPr>
            <w:tcW w:w="1275" w:type="dxa"/>
            <w:vMerge/>
            <w:tcBorders>
              <w:bottom w:val="single" w:sz="4" w:space="0" w:color="auto"/>
            </w:tcBorders>
            <w:vAlign w:val="center"/>
          </w:tcPr>
          <w:p w14:paraId="714F2D5F" w14:textId="77777777" w:rsidR="00D90FAD" w:rsidRPr="00D90FAD" w:rsidRDefault="00D90FAD" w:rsidP="00D90FAD">
            <w:pPr>
              <w:jc w:val="center"/>
              <w:rPr>
                <w:rFonts w:ascii="宋体" w:eastAsia="宋体" w:hAnsi="宋体" w:cs="宋体"/>
                <w:szCs w:val="24"/>
              </w:rPr>
            </w:pPr>
          </w:p>
        </w:tc>
        <w:tc>
          <w:tcPr>
            <w:tcW w:w="709" w:type="dxa"/>
            <w:vAlign w:val="center"/>
          </w:tcPr>
          <w:p w14:paraId="058C96B1"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6</w:t>
            </w:r>
          </w:p>
        </w:tc>
        <w:tc>
          <w:tcPr>
            <w:tcW w:w="3402" w:type="dxa"/>
            <w:vAlign w:val="center"/>
          </w:tcPr>
          <w:p w14:paraId="7D7DBD78"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自查报告符合要求，内容完整、数据准确、格式规范，并且及时报送。</w:t>
            </w:r>
          </w:p>
        </w:tc>
        <w:tc>
          <w:tcPr>
            <w:tcW w:w="3544" w:type="dxa"/>
            <w:vAlign w:val="center"/>
          </w:tcPr>
          <w:p w14:paraId="5BDA9522"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报送自查报告得4分，不符合要求每项扣1分，最高扣3分；报告按规定时间节点及时报送得2分，未及时报送的扣2分。</w:t>
            </w:r>
          </w:p>
        </w:tc>
        <w:tc>
          <w:tcPr>
            <w:tcW w:w="2268" w:type="dxa"/>
            <w:vMerge/>
            <w:tcBorders>
              <w:bottom w:val="single" w:sz="4" w:space="0" w:color="auto"/>
            </w:tcBorders>
            <w:vAlign w:val="center"/>
          </w:tcPr>
          <w:p w14:paraId="6B9832F5" w14:textId="77777777" w:rsidR="00D90FAD" w:rsidRPr="00D90FAD" w:rsidRDefault="00D90FAD" w:rsidP="00D90FAD">
            <w:pPr>
              <w:rPr>
                <w:rFonts w:ascii="宋体" w:eastAsia="宋体" w:hAnsi="宋体" w:cs="宋体"/>
                <w:szCs w:val="24"/>
              </w:rPr>
            </w:pPr>
          </w:p>
        </w:tc>
        <w:tc>
          <w:tcPr>
            <w:tcW w:w="709" w:type="dxa"/>
            <w:vMerge/>
            <w:tcBorders>
              <w:bottom w:val="single" w:sz="4" w:space="0" w:color="auto"/>
              <w:right w:val="single" w:sz="4" w:space="0" w:color="auto"/>
            </w:tcBorders>
            <w:vAlign w:val="center"/>
          </w:tcPr>
          <w:p w14:paraId="48E7D9A3" w14:textId="77777777" w:rsidR="00D90FAD" w:rsidRPr="00D90FAD" w:rsidRDefault="00D90FAD" w:rsidP="00D90FAD">
            <w:pPr>
              <w:rPr>
                <w:rFonts w:ascii="宋体" w:eastAsia="宋体" w:hAnsi="宋体" w:cs="宋体"/>
                <w:szCs w:val="24"/>
              </w:rPr>
            </w:pPr>
          </w:p>
        </w:tc>
      </w:tr>
      <w:tr w:rsidR="00D90FAD" w:rsidRPr="00D90FAD" w14:paraId="58D84B89" w14:textId="77777777" w:rsidTr="00D90FAD">
        <w:trPr>
          <w:trHeight w:val="1688"/>
        </w:trPr>
        <w:tc>
          <w:tcPr>
            <w:tcW w:w="1134" w:type="dxa"/>
            <w:vMerge/>
            <w:vAlign w:val="center"/>
          </w:tcPr>
          <w:p w14:paraId="52F17945" w14:textId="77777777" w:rsidR="00D90FAD" w:rsidRPr="00D90FAD" w:rsidRDefault="00D90FAD" w:rsidP="00D90FAD">
            <w:pPr>
              <w:jc w:val="center"/>
              <w:rPr>
                <w:rFonts w:ascii="宋体" w:eastAsia="宋体" w:hAnsi="宋体" w:cs="宋体"/>
                <w:szCs w:val="24"/>
              </w:rPr>
            </w:pPr>
          </w:p>
        </w:tc>
        <w:tc>
          <w:tcPr>
            <w:tcW w:w="1275" w:type="dxa"/>
            <w:tcBorders>
              <w:top w:val="single" w:sz="4" w:space="0" w:color="auto"/>
              <w:bottom w:val="single" w:sz="4" w:space="0" w:color="auto"/>
            </w:tcBorders>
            <w:vAlign w:val="center"/>
          </w:tcPr>
          <w:p w14:paraId="14C638F1"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无形资产</w:t>
            </w:r>
          </w:p>
          <w:p w14:paraId="13833192"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管理</w:t>
            </w:r>
          </w:p>
        </w:tc>
        <w:tc>
          <w:tcPr>
            <w:tcW w:w="709" w:type="dxa"/>
            <w:vAlign w:val="center"/>
          </w:tcPr>
          <w:p w14:paraId="2B117479"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5</w:t>
            </w:r>
          </w:p>
        </w:tc>
        <w:tc>
          <w:tcPr>
            <w:tcW w:w="3402" w:type="dxa"/>
            <w:vAlign w:val="center"/>
          </w:tcPr>
          <w:p w14:paraId="57AE15E8"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无形资产信息录入学校资产管理系统统一管理，科技成果转移转化及时进行账务处理、转移转让收益足额上缴学校财务。</w:t>
            </w:r>
          </w:p>
        </w:tc>
        <w:tc>
          <w:tcPr>
            <w:tcW w:w="3544" w:type="dxa"/>
            <w:vAlign w:val="center"/>
          </w:tcPr>
          <w:p w14:paraId="4C8B37DA"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无形资产信息未入资产系统每一项扣1分，扣完2分为止；科技成果转化未及时进行账务处理扣1分；转移转让收益未及时足额上缴学校财务扣2分。</w:t>
            </w:r>
          </w:p>
        </w:tc>
        <w:tc>
          <w:tcPr>
            <w:tcW w:w="2268" w:type="dxa"/>
            <w:tcBorders>
              <w:top w:val="single" w:sz="4" w:space="0" w:color="auto"/>
            </w:tcBorders>
            <w:vAlign w:val="center"/>
          </w:tcPr>
          <w:p w14:paraId="13EA867B"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资产管理系统核查。</w:t>
            </w:r>
          </w:p>
        </w:tc>
        <w:tc>
          <w:tcPr>
            <w:tcW w:w="709" w:type="dxa"/>
            <w:tcBorders>
              <w:top w:val="single" w:sz="4" w:space="0" w:color="auto"/>
              <w:right w:val="single" w:sz="4" w:space="0" w:color="auto"/>
            </w:tcBorders>
            <w:vAlign w:val="center"/>
          </w:tcPr>
          <w:p w14:paraId="2735DFD2" w14:textId="77777777" w:rsidR="00D90FAD" w:rsidRPr="00D90FAD" w:rsidRDefault="00D90FAD" w:rsidP="00D90FAD">
            <w:pPr>
              <w:jc w:val="center"/>
              <w:rPr>
                <w:rFonts w:ascii="宋体" w:eastAsia="宋体" w:hAnsi="宋体" w:cs="宋体"/>
                <w:szCs w:val="24"/>
              </w:rPr>
            </w:pPr>
          </w:p>
        </w:tc>
      </w:tr>
      <w:tr w:rsidR="00D90FAD" w:rsidRPr="00D90FAD" w14:paraId="4631D4DF" w14:textId="77777777" w:rsidTr="00175819">
        <w:trPr>
          <w:trHeight w:val="2543"/>
        </w:trPr>
        <w:tc>
          <w:tcPr>
            <w:tcW w:w="1134" w:type="dxa"/>
            <w:vAlign w:val="center"/>
          </w:tcPr>
          <w:p w14:paraId="7CD6B536"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资产使用绩效</w:t>
            </w:r>
          </w:p>
          <w:p w14:paraId="53F2CEC7"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（5分）</w:t>
            </w:r>
          </w:p>
        </w:tc>
        <w:tc>
          <w:tcPr>
            <w:tcW w:w="1275" w:type="dxa"/>
            <w:vAlign w:val="center"/>
          </w:tcPr>
          <w:p w14:paraId="24F3935E"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通用办公设备最低使用率</w:t>
            </w:r>
          </w:p>
        </w:tc>
        <w:tc>
          <w:tcPr>
            <w:tcW w:w="709" w:type="dxa"/>
            <w:vAlign w:val="center"/>
          </w:tcPr>
          <w:p w14:paraId="2F694648"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5</w:t>
            </w:r>
          </w:p>
        </w:tc>
        <w:tc>
          <w:tcPr>
            <w:tcW w:w="3402" w:type="dxa"/>
            <w:vAlign w:val="center"/>
          </w:tcPr>
          <w:p w14:paraId="74B9F66B"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通用办公设备最低使用年限执行率。</w:t>
            </w:r>
          </w:p>
        </w:tc>
        <w:tc>
          <w:tcPr>
            <w:tcW w:w="3544" w:type="dxa"/>
            <w:vAlign w:val="center"/>
          </w:tcPr>
          <w:p w14:paraId="1D2F64E7"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最低使用年限执行率X=当年处置的通用办公设备平均使用年限÷通用办公设备应当执行的最低使用年限×100%，计分方式如下：X≥150%，得5分；130%≤X＜150%，得3分；120%≤X＜130%，得2分；X＜120%，不得分。</w:t>
            </w:r>
          </w:p>
        </w:tc>
        <w:tc>
          <w:tcPr>
            <w:tcW w:w="2268" w:type="dxa"/>
            <w:vAlign w:val="center"/>
          </w:tcPr>
          <w:p w14:paraId="3E3EB97A"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根据部门（单位）通用办公设备报废处置明细计算。</w:t>
            </w:r>
          </w:p>
        </w:tc>
        <w:tc>
          <w:tcPr>
            <w:tcW w:w="709" w:type="dxa"/>
            <w:tcBorders>
              <w:right w:val="single" w:sz="4" w:space="0" w:color="auto"/>
            </w:tcBorders>
            <w:vAlign w:val="center"/>
          </w:tcPr>
          <w:p w14:paraId="075E42B5" w14:textId="77777777" w:rsidR="00D90FAD" w:rsidRPr="00D90FAD" w:rsidRDefault="00D90FAD" w:rsidP="00D90FAD">
            <w:pPr>
              <w:rPr>
                <w:rFonts w:ascii="宋体" w:eastAsia="宋体" w:hAnsi="宋体" w:cs="宋体"/>
                <w:szCs w:val="24"/>
              </w:rPr>
            </w:pPr>
          </w:p>
        </w:tc>
      </w:tr>
      <w:tr w:rsidR="00D90FAD" w:rsidRPr="00D90FAD" w14:paraId="48CEBCBC" w14:textId="77777777" w:rsidTr="00175819">
        <w:trPr>
          <w:trHeight w:val="550"/>
        </w:trPr>
        <w:tc>
          <w:tcPr>
            <w:tcW w:w="1134" w:type="dxa"/>
            <w:vAlign w:val="center"/>
          </w:tcPr>
          <w:p w14:paraId="00C054EB"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合计</w:t>
            </w:r>
          </w:p>
        </w:tc>
        <w:tc>
          <w:tcPr>
            <w:tcW w:w="1275" w:type="dxa"/>
            <w:vAlign w:val="center"/>
          </w:tcPr>
          <w:p w14:paraId="6D86700B" w14:textId="77777777" w:rsidR="00D90FAD" w:rsidRPr="00D90FAD" w:rsidRDefault="00D90FAD" w:rsidP="00D90FAD">
            <w:pPr>
              <w:jc w:val="center"/>
              <w:rPr>
                <w:rFonts w:ascii="宋体" w:eastAsia="宋体" w:hAnsi="宋体" w:cs="宋体"/>
                <w:b/>
                <w:szCs w:val="24"/>
              </w:rPr>
            </w:pPr>
          </w:p>
        </w:tc>
        <w:tc>
          <w:tcPr>
            <w:tcW w:w="709" w:type="dxa"/>
            <w:vAlign w:val="center"/>
          </w:tcPr>
          <w:p w14:paraId="59854A6F"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100</w:t>
            </w:r>
          </w:p>
        </w:tc>
        <w:tc>
          <w:tcPr>
            <w:tcW w:w="3402" w:type="dxa"/>
            <w:vAlign w:val="center"/>
          </w:tcPr>
          <w:p w14:paraId="6985740A" w14:textId="77777777" w:rsidR="00D90FAD" w:rsidRPr="00D90FAD" w:rsidRDefault="00D90FAD" w:rsidP="00D90FAD">
            <w:pPr>
              <w:rPr>
                <w:rFonts w:ascii="宋体" w:eastAsia="宋体" w:hAnsi="宋体" w:cs="宋体"/>
                <w:szCs w:val="24"/>
              </w:rPr>
            </w:pPr>
          </w:p>
        </w:tc>
        <w:tc>
          <w:tcPr>
            <w:tcW w:w="3544" w:type="dxa"/>
          </w:tcPr>
          <w:p w14:paraId="3FC19D2B" w14:textId="77777777" w:rsidR="00D90FAD" w:rsidRPr="00D90FAD" w:rsidRDefault="00D90FAD" w:rsidP="00D90FAD">
            <w:pPr>
              <w:rPr>
                <w:rFonts w:ascii="宋体" w:eastAsia="宋体" w:hAnsi="宋体" w:cs="宋体"/>
                <w:szCs w:val="24"/>
              </w:rPr>
            </w:pPr>
          </w:p>
        </w:tc>
        <w:tc>
          <w:tcPr>
            <w:tcW w:w="2268" w:type="dxa"/>
            <w:vAlign w:val="center"/>
          </w:tcPr>
          <w:p w14:paraId="01B745EE" w14:textId="77777777" w:rsidR="00D90FAD" w:rsidRPr="00D90FAD" w:rsidRDefault="00D90FAD" w:rsidP="00D90FAD">
            <w:pPr>
              <w:rPr>
                <w:rFonts w:ascii="宋体" w:eastAsia="宋体" w:hAnsi="宋体" w:cs="宋体"/>
                <w:szCs w:val="24"/>
              </w:rPr>
            </w:pPr>
          </w:p>
        </w:tc>
        <w:tc>
          <w:tcPr>
            <w:tcW w:w="709" w:type="dxa"/>
            <w:tcBorders>
              <w:right w:val="single" w:sz="4" w:space="0" w:color="auto"/>
            </w:tcBorders>
            <w:vAlign w:val="center"/>
          </w:tcPr>
          <w:p w14:paraId="6F025DA0" w14:textId="77777777" w:rsidR="00D90FAD" w:rsidRPr="00D90FAD" w:rsidRDefault="00D90FAD" w:rsidP="00D90FAD">
            <w:pPr>
              <w:rPr>
                <w:rFonts w:ascii="宋体" w:eastAsia="宋体" w:hAnsi="宋体" w:cs="宋体"/>
                <w:szCs w:val="24"/>
              </w:rPr>
            </w:pPr>
          </w:p>
        </w:tc>
      </w:tr>
      <w:tr w:rsidR="00D90FAD" w:rsidRPr="00D90FAD" w14:paraId="64F3DD6F" w14:textId="77777777" w:rsidTr="00175819">
        <w:trPr>
          <w:trHeight w:val="551"/>
        </w:trPr>
        <w:tc>
          <w:tcPr>
            <w:tcW w:w="1134" w:type="dxa"/>
            <w:tcBorders>
              <w:right w:val="single" w:sz="4" w:space="0" w:color="auto"/>
            </w:tcBorders>
            <w:vAlign w:val="center"/>
          </w:tcPr>
          <w:p w14:paraId="3E2B6192"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lastRenderedPageBreak/>
              <w:t>一级指标</w:t>
            </w:r>
          </w:p>
        </w:tc>
        <w:tc>
          <w:tcPr>
            <w:tcW w:w="1275" w:type="dxa"/>
            <w:tcBorders>
              <w:left w:val="single" w:sz="4" w:space="0" w:color="auto"/>
            </w:tcBorders>
            <w:vAlign w:val="center"/>
          </w:tcPr>
          <w:p w14:paraId="214AFFBF"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二级指标</w:t>
            </w:r>
          </w:p>
        </w:tc>
        <w:tc>
          <w:tcPr>
            <w:tcW w:w="709" w:type="dxa"/>
            <w:vAlign w:val="center"/>
          </w:tcPr>
          <w:p w14:paraId="554216D4"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分值</w:t>
            </w:r>
          </w:p>
        </w:tc>
        <w:tc>
          <w:tcPr>
            <w:tcW w:w="3402" w:type="dxa"/>
            <w:vAlign w:val="center"/>
          </w:tcPr>
          <w:p w14:paraId="6372B80D"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指标解释与评价标准</w:t>
            </w:r>
          </w:p>
        </w:tc>
        <w:tc>
          <w:tcPr>
            <w:tcW w:w="3544" w:type="dxa"/>
            <w:vAlign w:val="center"/>
          </w:tcPr>
          <w:p w14:paraId="430BC049"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量化评分细则</w:t>
            </w:r>
          </w:p>
        </w:tc>
        <w:tc>
          <w:tcPr>
            <w:tcW w:w="2268" w:type="dxa"/>
            <w:vAlign w:val="center"/>
          </w:tcPr>
          <w:p w14:paraId="34DC8A23"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评价依据</w:t>
            </w:r>
          </w:p>
        </w:tc>
        <w:tc>
          <w:tcPr>
            <w:tcW w:w="709" w:type="dxa"/>
            <w:tcBorders>
              <w:right w:val="single" w:sz="4" w:space="0" w:color="auto"/>
            </w:tcBorders>
            <w:vAlign w:val="center"/>
          </w:tcPr>
          <w:p w14:paraId="0BAC1D7C" w14:textId="77777777" w:rsidR="00D90FAD" w:rsidRPr="00D90FAD" w:rsidRDefault="00D90FAD" w:rsidP="00D90FAD">
            <w:pPr>
              <w:jc w:val="center"/>
              <w:rPr>
                <w:rFonts w:ascii="宋体" w:eastAsia="宋体" w:hAnsi="宋体" w:cs="宋体"/>
                <w:b/>
                <w:szCs w:val="24"/>
              </w:rPr>
            </w:pPr>
            <w:r w:rsidRPr="00D90FAD">
              <w:rPr>
                <w:rFonts w:ascii="宋体" w:eastAsia="宋体" w:hAnsi="宋体" w:cs="宋体" w:hint="eastAsia"/>
                <w:b/>
                <w:szCs w:val="24"/>
              </w:rPr>
              <w:t>得分</w:t>
            </w:r>
          </w:p>
        </w:tc>
      </w:tr>
      <w:tr w:rsidR="00D90FAD" w:rsidRPr="00D90FAD" w14:paraId="685ADDA5" w14:textId="77777777" w:rsidTr="00175819">
        <w:trPr>
          <w:trHeight w:val="1128"/>
        </w:trPr>
        <w:tc>
          <w:tcPr>
            <w:tcW w:w="1134" w:type="dxa"/>
            <w:vMerge w:val="restart"/>
          </w:tcPr>
          <w:p w14:paraId="7A82DEC9" w14:textId="77777777" w:rsidR="00D90FAD" w:rsidRPr="00D90FAD" w:rsidRDefault="00D90FAD" w:rsidP="00D90FAD">
            <w:pPr>
              <w:jc w:val="center"/>
              <w:rPr>
                <w:rFonts w:ascii="宋体" w:eastAsia="宋体" w:hAnsi="宋体" w:cs="宋体"/>
                <w:szCs w:val="24"/>
              </w:rPr>
            </w:pPr>
          </w:p>
          <w:p w14:paraId="09A9C1B4" w14:textId="77777777" w:rsidR="00D90FAD" w:rsidRPr="00D90FAD" w:rsidRDefault="00D90FAD" w:rsidP="00D90FAD">
            <w:pPr>
              <w:jc w:val="center"/>
              <w:rPr>
                <w:rFonts w:ascii="宋体" w:eastAsia="宋体" w:hAnsi="宋体" w:cs="宋体"/>
                <w:szCs w:val="24"/>
              </w:rPr>
            </w:pPr>
          </w:p>
          <w:p w14:paraId="5078D375" w14:textId="77777777" w:rsidR="00D90FAD" w:rsidRPr="00D90FAD" w:rsidRDefault="00D90FAD" w:rsidP="00D90FAD">
            <w:pPr>
              <w:jc w:val="center"/>
              <w:rPr>
                <w:rFonts w:ascii="宋体" w:eastAsia="宋体" w:hAnsi="宋体" w:cs="宋体"/>
                <w:szCs w:val="24"/>
              </w:rPr>
            </w:pPr>
          </w:p>
          <w:p w14:paraId="46550AC4" w14:textId="77777777" w:rsidR="00D90FAD" w:rsidRPr="00D90FAD" w:rsidRDefault="00D90FAD" w:rsidP="00D90FAD">
            <w:pPr>
              <w:jc w:val="center"/>
              <w:rPr>
                <w:rFonts w:ascii="宋体" w:eastAsia="宋体" w:hAnsi="宋体" w:cs="宋体"/>
                <w:szCs w:val="24"/>
              </w:rPr>
            </w:pPr>
          </w:p>
          <w:p w14:paraId="478AE42F" w14:textId="77777777" w:rsidR="00D90FAD" w:rsidRPr="00D90FAD" w:rsidRDefault="00D90FAD" w:rsidP="00D90FAD">
            <w:pPr>
              <w:jc w:val="center"/>
              <w:rPr>
                <w:rFonts w:ascii="宋体" w:eastAsia="宋体" w:hAnsi="宋体" w:cs="宋体"/>
                <w:szCs w:val="24"/>
              </w:rPr>
            </w:pPr>
          </w:p>
          <w:p w14:paraId="3660B6E4" w14:textId="77777777" w:rsidR="00D90FAD" w:rsidRPr="00D90FAD" w:rsidRDefault="00D90FAD" w:rsidP="00D90FAD">
            <w:pPr>
              <w:jc w:val="center"/>
              <w:rPr>
                <w:rFonts w:ascii="宋体" w:eastAsia="宋体" w:hAnsi="宋体" w:cs="宋体"/>
                <w:szCs w:val="24"/>
              </w:rPr>
            </w:pPr>
          </w:p>
          <w:p w14:paraId="37551E2C"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其他</w:t>
            </w:r>
          </w:p>
          <w:p w14:paraId="5773538D" w14:textId="77777777" w:rsidR="00D90FAD" w:rsidRPr="00D90FAD" w:rsidRDefault="00D90FAD" w:rsidP="00D90FAD">
            <w:pPr>
              <w:jc w:val="center"/>
              <w:rPr>
                <w:rFonts w:ascii="宋体" w:eastAsia="宋体" w:hAnsi="宋体" w:cs="宋体"/>
                <w:szCs w:val="24"/>
              </w:rPr>
            </w:pPr>
          </w:p>
        </w:tc>
        <w:tc>
          <w:tcPr>
            <w:tcW w:w="1275" w:type="dxa"/>
            <w:vMerge w:val="restart"/>
            <w:vAlign w:val="center"/>
          </w:tcPr>
          <w:p w14:paraId="7E5932B1"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加分项</w:t>
            </w:r>
          </w:p>
          <w:p w14:paraId="3EFAB4C6"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（10分）</w:t>
            </w:r>
          </w:p>
        </w:tc>
        <w:tc>
          <w:tcPr>
            <w:tcW w:w="709" w:type="dxa"/>
            <w:vAlign w:val="center"/>
          </w:tcPr>
          <w:p w14:paraId="32F5EF2A"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5</w:t>
            </w:r>
          </w:p>
        </w:tc>
        <w:tc>
          <w:tcPr>
            <w:tcW w:w="3402" w:type="dxa"/>
            <w:vAlign w:val="center"/>
          </w:tcPr>
          <w:p w14:paraId="1FE4F2EE"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加入学校大型仪器设备共享、共用平台情况。</w:t>
            </w:r>
          </w:p>
        </w:tc>
        <w:tc>
          <w:tcPr>
            <w:tcW w:w="3544" w:type="dxa"/>
            <w:vAlign w:val="center"/>
          </w:tcPr>
          <w:p w14:paraId="2D4851AE"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对符合条件要求的大型仪器设备，积极加入共享、共用平台，无遗漏得2分；取得共享收入再得3分。</w:t>
            </w:r>
          </w:p>
        </w:tc>
        <w:tc>
          <w:tcPr>
            <w:tcW w:w="2268" w:type="dxa"/>
            <w:vAlign w:val="center"/>
          </w:tcPr>
          <w:p w14:paraId="4A72430C"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科研处共享平台系统核查。</w:t>
            </w:r>
          </w:p>
        </w:tc>
        <w:tc>
          <w:tcPr>
            <w:tcW w:w="709" w:type="dxa"/>
            <w:tcBorders>
              <w:right w:val="single" w:sz="4" w:space="0" w:color="auto"/>
            </w:tcBorders>
            <w:vAlign w:val="center"/>
          </w:tcPr>
          <w:p w14:paraId="1C82FE1A" w14:textId="77777777" w:rsidR="00D90FAD" w:rsidRPr="00D90FAD" w:rsidRDefault="00D90FAD" w:rsidP="00D90FAD">
            <w:pPr>
              <w:rPr>
                <w:rFonts w:ascii="宋体" w:eastAsia="宋体" w:hAnsi="宋体" w:cs="宋体"/>
                <w:szCs w:val="24"/>
              </w:rPr>
            </w:pPr>
          </w:p>
        </w:tc>
      </w:tr>
      <w:tr w:rsidR="00D90FAD" w:rsidRPr="00D90FAD" w14:paraId="37D78AAE" w14:textId="77777777" w:rsidTr="00175819">
        <w:trPr>
          <w:trHeight w:val="1312"/>
        </w:trPr>
        <w:tc>
          <w:tcPr>
            <w:tcW w:w="1134" w:type="dxa"/>
            <w:vMerge/>
          </w:tcPr>
          <w:p w14:paraId="00F5F79C" w14:textId="77777777" w:rsidR="00D90FAD" w:rsidRPr="00D90FAD" w:rsidRDefault="00D90FAD" w:rsidP="00D90FAD">
            <w:pPr>
              <w:rPr>
                <w:rFonts w:ascii="宋体" w:eastAsia="宋体" w:hAnsi="宋体" w:cs="宋体"/>
                <w:szCs w:val="24"/>
              </w:rPr>
            </w:pPr>
          </w:p>
        </w:tc>
        <w:tc>
          <w:tcPr>
            <w:tcW w:w="1275" w:type="dxa"/>
            <w:vMerge/>
            <w:vAlign w:val="center"/>
          </w:tcPr>
          <w:p w14:paraId="7728C807" w14:textId="77777777" w:rsidR="00D90FAD" w:rsidRPr="00D90FAD" w:rsidRDefault="00D90FAD" w:rsidP="00D90FAD">
            <w:pPr>
              <w:rPr>
                <w:rFonts w:ascii="宋体" w:eastAsia="宋体" w:hAnsi="宋体" w:cs="宋体"/>
                <w:color w:val="FF0000"/>
                <w:szCs w:val="24"/>
              </w:rPr>
            </w:pPr>
          </w:p>
        </w:tc>
        <w:tc>
          <w:tcPr>
            <w:tcW w:w="709" w:type="dxa"/>
            <w:vAlign w:val="center"/>
          </w:tcPr>
          <w:p w14:paraId="728EA2C3"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2</w:t>
            </w:r>
          </w:p>
        </w:tc>
        <w:tc>
          <w:tcPr>
            <w:tcW w:w="3402" w:type="dxa"/>
            <w:vAlign w:val="center"/>
          </w:tcPr>
          <w:p w14:paraId="6506FFB5"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部门、单位有科技成果转化，为学校创收、提高学校社会声誉。</w:t>
            </w:r>
          </w:p>
        </w:tc>
        <w:tc>
          <w:tcPr>
            <w:tcW w:w="3544" w:type="dxa"/>
            <w:vAlign w:val="center"/>
          </w:tcPr>
          <w:p w14:paraId="588CC01C"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有科技成果转化得2分</w:t>
            </w:r>
          </w:p>
        </w:tc>
        <w:tc>
          <w:tcPr>
            <w:tcW w:w="2268" w:type="dxa"/>
            <w:vAlign w:val="center"/>
          </w:tcPr>
          <w:p w14:paraId="2AB2C797"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科研处提供的科技成果</w:t>
            </w:r>
            <w:proofErr w:type="gramStart"/>
            <w:r w:rsidRPr="00D90FAD">
              <w:rPr>
                <w:rFonts w:ascii="宋体" w:eastAsia="宋体" w:hAnsi="宋体" w:cs="宋体" w:hint="eastAsia"/>
                <w:szCs w:val="24"/>
              </w:rPr>
              <w:t>转化台</w:t>
            </w:r>
            <w:proofErr w:type="gramEnd"/>
            <w:r w:rsidRPr="00D90FAD">
              <w:rPr>
                <w:rFonts w:ascii="宋体" w:eastAsia="宋体" w:hAnsi="宋体" w:cs="宋体" w:hint="eastAsia"/>
                <w:szCs w:val="24"/>
              </w:rPr>
              <w:t>账。</w:t>
            </w:r>
          </w:p>
        </w:tc>
        <w:tc>
          <w:tcPr>
            <w:tcW w:w="709" w:type="dxa"/>
            <w:tcBorders>
              <w:right w:val="single" w:sz="4" w:space="0" w:color="auto"/>
            </w:tcBorders>
            <w:vAlign w:val="center"/>
          </w:tcPr>
          <w:p w14:paraId="279FC865" w14:textId="77777777" w:rsidR="00D90FAD" w:rsidRPr="00D90FAD" w:rsidRDefault="00D90FAD" w:rsidP="00D90FAD">
            <w:pPr>
              <w:rPr>
                <w:rFonts w:ascii="宋体" w:eastAsia="宋体" w:hAnsi="宋体" w:cs="宋体"/>
                <w:szCs w:val="24"/>
              </w:rPr>
            </w:pPr>
          </w:p>
        </w:tc>
      </w:tr>
      <w:tr w:rsidR="00D90FAD" w:rsidRPr="00D90FAD" w14:paraId="5C2AEE1C" w14:textId="77777777" w:rsidTr="00175819">
        <w:trPr>
          <w:trHeight w:val="1470"/>
        </w:trPr>
        <w:tc>
          <w:tcPr>
            <w:tcW w:w="1134" w:type="dxa"/>
            <w:vMerge/>
          </w:tcPr>
          <w:p w14:paraId="62F013B2" w14:textId="77777777" w:rsidR="00D90FAD" w:rsidRPr="00D90FAD" w:rsidRDefault="00D90FAD" w:rsidP="00D90FAD">
            <w:pPr>
              <w:rPr>
                <w:rFonts w:ascii="宋体" w:eastAsia="宋体" w:hAnsi="宋体" w:cs="宋体"/>
                <w:szCs w:val="24"/>
              </w:rPr>
            </w:pPr>
          </w:p>
        </w:tc>
        <w:tc>
          <w:tcPr>
            <w:tcW w:w="1275" w:type="dxa"/>
            <w:vMerge/>
            <w:vAlign w:val="center"/>
          </w:tcPr>
          <w:p w14:paraId="2F306F61" w14:textId="77777777" w:rsidR="00D90FAD" w:rsidRPr="00D90FAD" w:rsidRDefault="00D90FAD" w:rsidP="00D90FAD">
            <w:pPr>
              <w:rPr>
                <w:rFonts w:ascii="宋体" w:eastAsia="宋体" w:hAnsi="宋体" w:cs="宋体"/>
                <w:color w:val="FF0000"/>
                <w:szCs w:val="24"/>
              </w:rPr>
            </w:pPr>
          </w:p>
        </w:tc>
        <w:tc>
          <w:tcPr>
            <w:tcW w:w="709" w:type="dxa"/>
            <w:vAlign w:val="center"/>
          </w:tcPr>
          <w:p w14:paraId="702D9C4D"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3</w:t>
            </w:r>
          </w:p>
        </w:tc>
        <w:tc>
          <w:tcPr>
            <w:tcW w:w="3402" w:type="dxa"/>
            <w:vAlign w:val="center"/>
          </w:tcPr>
          <w:p w14:paraId="20D21B6E"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本部门、单位采取创新性工作或者承担学校重大改革创新任务在资产管理方面取得显著成效。</w:t>
            </w:r>
          </w:p>
        </w:tc>
        <w:tc>
          <w:tcPr>
            <w:tcW w:w="3544" w:type="dxa"/>
            <w:vAlign w:val="center"/>
          </w:tcPr>
          <w:p w14:paraId="3772FC57"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专家评议，成效显著得3分。</w:t>
            </w:r>
          </w:p>
        </w:tc>
        <w:tc>
          <w:tcPr>
            <w:tcW w:w="2268" w:type="dxa"/>
            <w:vAlign w:val="center"/>
          </w:tcPr>
          <w:p w14:paraId="514763FB" w14:textId="77777777" w:rsidR="00D90FAD" w:rsidRPr="00D90FAD" w:rsidRDefault="00D90FAD" w:rsidP="00D90FAD">
            <w:pPr>
              <w:rPr>
                <w:rFonts w:ascii="宋体" w:eastAsia="宋体" w:hAnsi="宋体" w:cs="宋体"/>
                <w:szCs w:val="24"/>
              </w:rPr>
            </w:pPr>
          </w:p>
        </w:tc>
        <w:tc>
          <w:tcPr>
            <w:tcW w:w="709" w:type="dxa"/>
            <w:tcBorders>
              <w:right w:val="single" w:sz="4" w:space="0" w:color="auto"/>
            </w:tcBorders>
            <w:vAlign w:val="center"/>
          </w:tcPr>
          <w:p w14:paraId="3AD36DE0" w14:textId="77777777" w:rsidR="00D90FAD" w:rsidRPr="00D90FAD" w:rsidRDefault="00D90FAD" w:rsidP="00D90FAD">
            <w:pPr>
              <w:rPr>
                <w:rFonts w:ascii="宋体" w:eastAsia="宋体" w:hAnsi="宋体" w:cs="宋体"/>
                <w:szCs w:val="24"/>
              </w:rPr>
            </w:pPr>
          </w:p>
        </w:tc>
      </w:tr>
      <w:tr w:rsidR="00D90FAD" w:rsidRPr="00D90FAD" w14:paraId="015F9A56" w14:textId="77777777" w:rsidTr="00175819">
        <w:trPr>
          <w:trHeight w:val="1636"/>
        </w:trPr>
        <w:tc>
          <w:tcPr>
            <w:tcW w:w="1134" w:type="dxa"/>
            <w:vMerge/>
          </w:tcPr>
          <w:p w14:paraId="75FD89CD" w14:textId="77777777" w:rsidR="00D90FAD" w:rsidRPr="00D90FAD" w:rsidRDefault="00D90FAD" w:rsidP="00D90FAD">
            <w:pPr>
              <w:rPr>
                <w:rFonts w:ascii="宋体" w:eastAsia="宋体" w:hAnsi="宋体" w:cs="宋体"/>
                <w:szCs w:val="24"/>
              </w:rPr>
            </w:pPr>
          </w:p>
        </w:tc>
        <w:tc>
          <w:tcPr>
            <w:tcW w:w="1275" w:type="dxa"/>
            <w:vAlign w:val="center"/>
          </w:tcPr>
          <w:p w14:paraId="1A9C7150"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减分项</w:t>
            </w:r>
          </w:p>
          <w:p w14:paraId="7EB3DD01" w14:textId="77777777" w:rsidR="00D90FAD" w:rsidRPr="00D90FAD" w:rsidRDefault="00D90FAD" w:rsidP="00D90FAD">
            <w:pPr>
              <w:jc w:val="center"/>
              <w:rPr>
                <w:rFonts w:ascii="宋体" w:eastAsia="宋体" w:hAnsi="宋体" w:cs="宋体"/>
                <w:color w:val="FF0000"/>
                <w:szCs w:val="24"/>
              </w:rPr>
            </w:pPr>
            <w:r w:rsidRPr="00D90FAD">
              <w:rPr>
                <w:rFonts w:ascii="宋体" w:eastAsia="宋体" w:hAnsi="宋体" w:cs="宋体" w:hint="eastAsia"/>
                <w:szCs w:val="24"/>
              </w:rPr>
              <w:t>（10分）</w:t>
            </w:r>
          </w:p>
        </w:tc>
        <w:tc>
          <w:tcPr>
            <w:tcW w:w="709" w:type="dxa"/>
            <w:vAlign w:val="center"/>
          </w:tcPr>
          <w:p w14:paraId="5532727D" w14:textId="77777777" w:rsidR="00D90FAD" w:rsidRPr="00D90FAD" w:rsidRDefault="00D90FAD" w:rsidP="00D90FAD">
            <w:pPr>
              <w:jc w:val="center"/>
              <w:rPr>
                <w:rFonts w:ascii="宋体" w:eastAsia="宋体" w:hAnsi="宋体" w:cs="宋体"/>
                <w:szCs w:val="24"/>
              </w:rPr>
            </w:pPr>
            <w:r w:rsidRPr="00D90FAD">
              <w:rPr>
                <w:rFonts w:ascii="宋体" w:eastAsia="宋体" w:hAnsi="宋体" w:cs="宋体" w:hint="eastAsia"/>
                <w:szCs w:val="24"/>
              </w:rPr>
              <w:t>10</w:t>
            </w:r>
          </w:p>
        </w:tc>
        <w:tc>
          <w:tcPr>
            <w:tcW w:w="3402" w:type="dxa"/>
            <w:vAlign w:val="center"/>
          </w:tcPr>
          <w:p w14:paraId="0B5EFA75"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资产管理依规依纪依法管理，学校从严落实好巡视、审计、督查问题整改。</w:t>
            </w:r>
          </w:p>
        </w:tc>
        <w:tc>
          <w:tcPr>
            <w:tcW w:w="3544" w:type="dxa"/>
            <w:vAlign w:val="center"/>
          </w:tcPr>
          <w:p w14:paraId="55BB1433" w14:textId="77777777" w:rsidR="00D90FAD" w:rsidRPr="00D90FAD" w:rsidRDefault="00D90FAD" w:rsidP="00D90FAD">
            <w:pPr>
              <w:rPr>
                <w:rFonts w:ascii="宋体" w:eastAsia="宋体" w:hAnsi="宋体" w:cs="宋体"/>
                <w:szCs w:val="24"/>
              </w:rPr>
            </w:pPr>
            <w:r w:rsidRPr="00D90FAD">
              <w:rPr>
                <w:rFonts w:ascii="宋体" w:eastAsia="宋体" w:hAnsi="宋体" w:cs="宋体" w:hint="eastAsia"/>
                <w:szCs w:val="24"/>
              </w:rPr>
              <w:t>在巡视、审计和监督检查中发现资产管理突出问题的，或整改不力的，一次扣5分，两次扣10分（此项与指标内容不重复扣分）。</w:t>
            </w:r>
          </w:p>
        </w:tc>
        <w:tc>
          <w:tcPr>
            <w:tcW w:w="2268" w:type="dxa"/>
            <w:vAlign w:val="center"/>
          </w:tcPr>
          <w:p w14:paraId="0502BD20" w14:textId="77777777" w:rsidR="00D90FAD" w:rsidRPr="00D90FAD" w:rsidRDefault="00D90FAD" w:rsidP="00D90FAD">
            <w:pPr>
              <w:jc w:val="center"/>
              <w:rPr>
                <w:rFonts w:ascii="宋体" w:eastAsia="宋体" w:hAnsi="宋体" w:cs="宋体"/>
                <w:szCs w:val="24"/>
              </w:rPr>
            </w:pPr>
          </w:p>
        </w:tc>
        <w:tc>
          <w:tcPr>
            <w:tcW w:w="709" w:type="dxa"/>
            <w:tcBorders>
              <w:right w:val="single" w:sz="4" w:space="0" w:color="auto"/>
            </w:tcBorders>
            <w:vAlign w:val="center"/>
          </w:tcPr>
          <w:p w14:paraId="551E2ADF" w14:textId="77777777" w:rsidR="00D90FAD" w:rsidRPr="00D90FAD" w:rsidRDefault="00D90FAD" w:rsidP="00D90FAD">
            <w:pPr>
              <w:rPr>
                <w:rFonts w:ascii="宋体" w:eastAsia="宋体" w:hAnsi="宋体" w:cs="宋体"/>
                <w:szCs w:val="24"/>
              </w:rPr>
            </w:pPr>
          </w:p>
        </w:tc>
      </w:tr>
      <w:tr w:rsidR="00D90FAD" w:rsidRPr="00D90FAD" w14:paraId="3027E3A6" w14:textId="77777777" w:rsidTr="00175819">
        <w:trPr>
          <w:trHeight w:val="637"/>
        </w:trPr>
        <w:tc>
          <w:tcPr>
            <w:tcW w:w="1134" w:type="dxa"/>
            <w:vAlign w:val="center"/>
          </w:tcPr>
          <w:p w14:paraId="4BB0893E" w14:textId="77777777" w:rsidR="00D90FAD" w:rsidRPr="00D90FAD" w:rsidRDefault="00D90FAD" w:rsidP="00D90FAD">
            <w:pPr>
              <w:jc w:val="center"/>
              <w:rPr>
                <w:rFonts w:ascii="宋体" w:eastAsia="宋体" w:hAnsi="宋体" w:cs="宋体"/>
                <w:b/>
                <w:color w:val="FF0000"/>
                <w:szCs w:val="24"/>
              </w:rPr>
            </w:pPr>
            <w:r w:rsidRPr="00D90FAD">
              <w:rPr>
                <w:rFonts w:ascii="宋体" w:eastAsia="宋体" w:hAnsi="宋体" w:cs="宋体" w:hint="eastAsia"/>
                <w:b/>
                <w:szCs w:val="24"/>
              </w:rPr>
              <w:t>合计</w:t>
            </w:r>
          </w:p>
        </w:tc>
        <w:tc>
          <w:tcPr>
            <w:tcW w:w="1275" w:type="dxa"/>
            <w:vAlign w:val="center"/>
          </w:tcPr>
          <w:p w14:paraId="4E8DEB9C" w14:textId="77777777" w:rsidR="00D90FAD" w:rsidRPr="00D90FAD" w:rsidRDefault="00D90FAD" w:rsidP="00D90FAD">
            <w:pPr>
              <w:jc w:val="center"/>
              <w:rPr>
                <w:rFonts w:ascii="宋体" w:eastAsia="宋体" w:hAnsi="宋体" w:cs="宋体"/>
                <w:b/>
                <w:color w:val="FF0000"/>
                <w:szCs w:val="24"/>
              </w:rPr>
            </w:pPr>
          </w:p>
        </w:tc>
        <w:tc>
          <w:tcPr>
            <w:tcW w:w="709" w:type="dxa"/>
            <w:vAlign w:val="center"/>
          </w:tcPr>
          <w:p w14:paraId="3594AE0B" w14:textId="77777777" w:rsidR="00D90FAD" w:rsidRPr="00D90FAD" w:rsidRDefault="00D90FAD" w:rsidP="00D90FAD">
            <w:pPr>
              <w:jc w:val="center"/>
              <w:rPr>
                <w:rFonts w:ascii="宋体" w:eastAsia="宋体" w:hAnsi="宋体" w:cs="宋体"/>
                <w:b/>
                <w:szCs w:val="24"/>
              </w:rPr>
            </w:pPr>
          </w:p>
        </w:tc>
        <w:tc>
          <w:tcPr>
            <w:tcW w:w="3402" w:type="dxa"/>
            <w:vAlign w:val="center"/>
          </w:tcPr>
          <w:p w14:paraId="23E5A4D4" w14:textId="77777777" w:rsidR="00D90FAD" w:rsidRPr="00D90FAD" w:rsidRDefault="00D90FAD" w:rsidP="00D90FAD">
            <w:pPr>
              <w:ind w:firstLineChars="300" w:firstLine="630"/>
              <w:rPr>
                <w:rFonts w:ascii="宋体" w:eastAsia="宋体" w:hAnsi="宋体" w:cs="宋体"/>
                <w:szCs w:val="24"/>
              </w:rPr>
            </w:pPr>
          </w:p>
        </w:tc>
        <w:tc>
          <w:tcPr>
            <w:tcW w:w="3544" w:type="dxa"/>
          </w:tcPr>
          <w:p w14:paraId="3BF121C6" w14:textId="77777777" w:rsidR="00D90FAD" w:rsidRPr="00D90FAD" w:rsidRDefault="00D90FAD" w:rsidP="00D90FAD">
            <w:pPr>
              <w:rPr>
                <w:rFonts w:ascii="宋体" w:eastAsia="宋体" w:hAnsi="宋体" w:cs="宋体"/>
                <w:szCs w:val="24"/>
              </w:rPr>
            </w:pPr>
          </w:p>
        </w:tc>
        <w:tc>
          <w:tcPr>
            <w:tcW w:w="2268" w:type="dxa"/>
            <w:vAlign w:val="center"/>
          </w:tcPr>
          <w:p w14:paraId="2CA96AB8" w14:textId="77777777" w:rsidR="00D90FAD" w:rsidRPr="00D90FAD" w:rsidRDefault="00D90FAD" w:rsidP="00D90FAD">
            <w:pPr>
              <w:rPr>
                <w:rFonts w:ascii="宋体" w:eastAsia="宋体" w:hAnsi="宋体" w:cs="宋体"/>
                <w:szCs w:val="24"/>
              </w:rPr>
            </w:pPr>
          </w:p>
        </w:tc>
        <w:tc>
          <w:tcPr>
            <w:tcW w:w="709" w:type="dxa"/>
            <w:tcBorders>
              <w:right w:val="single" w:sz="4" w:space="0" w:color="auto"/>
            </w:tcBorders>
            <w:vAlign w:val="center"/>
          </w:tcPr>
          <w:p w14:paraId="7A6FDAC0" w14:textId="77777777" w:rsidR="00D90FAD" w:rsidRPr="00D90FAD" w:rsidRDefault="00D90FAD" w:rsidP="00D90FAD">
            <w:pPr>
              <w:rPr>
                <w:rFonts w:ascii="宋体" w:eastAsia="宋体" w:hAnsi="宋体" w:cs="宋体"/>
                <w:szCs w:val="24"/>
              </w:rPr>
            </w:pPr>
          </w:p>
        </w:tc>
      </w:tr>
    </w:tbl>
    <w:p w14:paraId="0555205D" w14:textId="77777777" w:rsidR="00D90FAD" w:rsidRPr="00D90FAD" w:rsidRDefault="00D90FAD" w:rsidP="00D90FAD">
      <w:pPr>
        <w:rPr>
          <w:rFonts w:ascii="Calibri" w:eastAsia="宋体" w:hAnsi="Calibri" w:cs="Times New Roman"/>
          <w:szCs w:val="24"/>
        </w:rPr>
      </w:pPr>
    </w:p>
    <w:p w14:paraId="2DC74715" w14:textId="77777777" w:rsidR="00D90FAD" w:rsidRPr="00D90FAD" w:rsidRDefault="00D90FAD" w:rsidP="00D90FAD">
      <w:pPr>
        <w:rPr>
          <w:rFonts w:ascii="Calibri" w:eastAsia="宋体" w:hAnsi="Calibri" w:cs="Times New Roman"/>
          <w:szCs w:val="24"/>
        </w:rPr>
      </w:pPr>
    </w:p>
    <w:p w14:paraId="2B1BE628" w14:textId="77777777" w:rsidR="00AE2ADE" w:rsidRDefault="00AE2ADE"/>
    <w:sectPr w:rsidR="00AE2ADE" w:rsidSect="00D90FA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226A" w14:textId="77777777" w:rsidR="00133D89" w:rsidRDefault="00133D89" w:rsidP="00D90FAD">
      <w:r>
        <w:separator/>
      </w:r>
    </w:p>
  </w:endnote>
  <w:endnote w:type="continuationSeparator" w:id="0">
    <w:p w14:paraId="66427D06" w14:textId="77777777" w:rsidR="00133D89" w:rsidRDefault="00133D89" w:rsidP="00D9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951C" w14:textId="77777777" w:rsidR="00133D89" w:rsidRDefault="00133D89" w:rsidP="00D90FAD">
      <w:r>
        <w:separator/>
      </w:r>
    </w:p>
  </w:footnote>
  <w:footnote w:type="continuationSeparator" w:id="0">
    <w:p w14:paraId="29CEA325" w14:textId="77777777" w:rsidR="00133D89" w:rsidRDefault="00133D89" w:rsidP="00D9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A1"/>
    <w:rsid w:val="00133D89"/>
    <w:rsid w:val="00470602"/>
    <w:rsid w:val="005848A1"/>
    <w:rsid w:val="00AE2ADE"/>
    <w:rsid w:val="00CC09C3"/>
    <w:rsid w:val="00D9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81A3A"/>
  <w15:chartTrackingRefBased/>
  <w15:docId w15:val="{65756A06-42DF-4E59-96C3-E935A5A1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FAD"/>
    <w:pPr>
      <w:tabs>
        <w:tab w:val="center" w:pos="4153"/>
        <w:tab w:val="right" w:pos="8306"/>
      </w:tabs>
      <w:snapToGrid w:val="0"/>
      <w:jc w:val="center"/>
    </w:pPr>
    <w:rPr>
      <w:sz w:val="18"/>
      <w:szCs w:val="18"/>
    </w:rPr>
  </w:style>
  <w:style w:type="character" w:customStyle="1" w:styleId="a4">
    <w:name w:val="页眉 字符"/>
    <w:basedOn w:val="a0"/>
    <w:link w:val="a3"/>
    <w:uiPriority w:val="99"/>
    <w:rsid w:val="00D90FAD"/>
    <w:rPr>
      <w:sz w:val="18"/>
      <w:szCs w:val="18"/>
    </w:rPr>
  </w:style>
  <w:style w:type="paragraph" w:styleId="a5">
    <w:name w:val="footer"/>
    <w:basedOn w:val="a"/>
    <w:link w:val="a6"/>
    <w:uiPriority w:val="99"/>
    <w:unhideWhenUsed/>
    <w:rsid w:val="00D90FAD"/>
    <w:pPr>
      <w:tabs>
        <w:tab w:val="center" w:pos="4153"/>
        <w:tab w:val="right" w:pos="8306"/>
      </w:tabs>
      <w:snapToGrid w:val="0"/>
      <w:jc w:val="left"/>
    </w:pPr>
    <w:rPr>
      <w:sz w:val="18"/>
      <w:szCs w:val="18"/>
    </w:rPr>
  </w:style>
  <w:style w:type="character" w:customStyle="1" w:styleId="a6">
    <w:name w:val="页脚 字符"/>
    <w:basedOn w:val="a0"/>
    <w:link w:val="a5"/>
    <w:uiPriority w:val="99"/>
    <w:rsid w:val="00D90F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dc:creator>
  <cp:keywords/>
  <dc:description/>
  <cp:lastModifiedBy>Lenovo</cp:lastModifiedBy>
  <cp:revision>3</cp:revision>
  <cp:lastPrinted>2024-11-08T03:16:00Z</cp:lastPrinted>
  <dcterms:created xsi:type="dcterms:W3CDTF">2023-11-29T02:18:00Z</dcterms:created>
  <dcterms:modified xsi:type="dcterms:W3CDTF">2024-11-08T03:18:00Z</dcterms:modified>
</cp:coreProperties>
</file>