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eastAsia="方正大标宋简体"/>
          <w:bCs/>
          <w:sz w:val="52"/>
          <w:szCs w:val="52"/>
          <w:highlight w:val="none"/>
        </w:rPr>
      </w:pPr>
    </w:p>
    <w:p>
      <w:pPr>
        <w:jc w:val="center"/>
        <w:rPr>
          <w:rFonts w:hint="default" w:ascii="方正大标宋简体" w:eastAsia="方正大标宋简体"/>
          <w:b/>
          <w:bCs/>
          <w:sz w:val="52"/>
          <w:szCs w:val="52"/>
          <w:highlight w:val="none"/>
          <w:lang w:val="en-US" w:eastAsia="zh-CN"/>
        </w:rPr>
      </w:pPr>
      <w:r>
        <w:rPr>
          <w:rFonts w:hint="eastAsia" w:ascii="方正大标宋简体" w:eastAsia="方正大标宋简体"/>
          <w:b/>
          <w:bCs/>
          <w:sz w:val="52"/>
          <w:szCs w:val="52"/>
          <w:highlight w:val="none"/>
        </w:rPr>
        <w:t>济宁医学院日照校区生物医药教学科研平台房屋改造装修项目设计</w:t>
      </w:r>
      <w:r>
        <w:rPr>
          <w:rFonts w:hint="eastAsia" w:ascii="方正大标宋简体" w:eastAsia="方正大标宋简体"/>
          <w:b/>
          <w:bCs/>
          <w:sz w:val="52"/>
          <w:szCs w:val="52"/>
          <w:highlight w:val="none"/>
          <w:lang w:val="en-US" w:eastAsia="zh-CN"/>
        </w:rPr>
        <w:t>(二次)</w:t>
      </w:r>
    </w:p>
    <w:p>
      <w:pPr>
        <w:spacing w:line="1800" w:lineRule="exact"/>
        <w:jc w:val="center"/>
        <w:rPr>
          <w:rFonts w:ascii="宋体" w:hAnsi="宋体" w:cs="宋体"/>
          <w:b/>
          <w:bCs/>
          <w:sz w:val="52"/>
          <w:szCs w:val="52"/>
          <w:highlight w:val="none"/>
        </w:rPr>
      </w:pPr>
      <w:r>
        <w:rPr>
          <w:rFonts w:hint="eastAsia" w:ascii="宋体" w:hAnsi="宋体" w:cs="宋体"/>
          <w:b/>
          <w:bCs/>
          <w:sz w:val="52"/>
          <w:szCs w:val="52"/>
          <w:highlight w:val="none"/>
        </w:rPr>
        <w:t>竞争性磋商文件</w:t>
      </w:r>
    </w:p>
    <w:p>
      <w:pPr>
        <w:spacing w:line="1800" w:lineRule="exact"/>
        <w:rPr>
          <w:rFonts w:ascii="宋体" w:hAnsi="宋体" w:cs="宋体"/>
          <w:bCs/>
          <w:sz w:val="52"/>
          <w:szCs w:val="52"/>
          <w:highlight w:val="none"/>
        </w:rPr>
      </w:pPr>
    </w:p>
    <w:p>
      <w:pPr>
        <w:spacing w:line="600" w:lineRule="exact"/>
        <w:rPr>
          <w:rFonts w:ascii="方正大标宋简体" w:eastAsia="方正大标宋简体"/>
          <w:b/>
          <w:sz w:val="32"/>
          <w:szCs w:val="32"/>
          <w:highlight w:val="none"/>
        </w:rPr>
      </w:pPr>
      <w:r>
        <w:rPr>
          <w:rFonts w:hint="eastAsia" w:ascii="方正大标宋简体" w:eastAsia="方正大标宋简体"/>
          <w:b/>
          <w:sz w:val="32"/>
          <w:szCs w:val="32"/>
          <w:highlight w:val="none"/>
        </w:rPr>
        <w:t xml:space="preserve">      </w:t>
      </w:r>
      <w:r>
        <w:rPr>
          <w:rFonts w:ascii="方正大标宋简体" w:eastAsia="方正大标宋简体"/>
          <w:b/>
          <w:sz w:val="32"/>
          <w:szCs w:val="32"/>
          <w:highlight w:val="none"/>
        </w:rPr>
        <w:t xml:space="preserve">  </w:t>
      </w:r>
      <w:r>
        <w:rPr>
          <w:rFonts w:hint="eastAsia" w:ascii="方正大标宋简体" w:eastAsia="方正大标宋简体"/>
          <w:b/>
          <w:sz w:val="32"/>
          <w:szCs w:val="32"/>
          <w:highlight w:val="none"/>
        </w:rPr>
        <w:t xml:space="preserve">   </w:t>
      </w:r>
      <w:r>
        <w:rPr>
          <w:rFonts w:hint="eastAsia" w:ascii="方正大标宋简体" w:eastAsia="方正大标宋简体"/>
          <w:bCs/>
          <w:sz w:val="32"/>
          <w:szCs w:val="32"/>
          <w:highlight w:val="none"/>
        </w:rPr>
        <w:t xml:space="preserve">        项目编号：</w:t>
      </w:r>
      <w:r>
        <w:rPr>
          <w:rFonts w:hint="eastAsia" w:ascii="方正大标宋简体" w:eastAsia="方正大标宋简体"/>
          <w:bCs/>
          <w:sz w:val="32"/>
          <w:szCs w:val="32"/>
          <w:highlight w:val="none"/>
          <w:lang w:val="en-US" w:eastAsia="zh-CN"/>
        </w:rPr>
        <w:t>HT-2019-SJ-056</w:t>
      </w:r>
      <w:r>
        <w:rPr>
          <w:rFonts w:hint="eastAsia" w:ascii="方正大标宋简体" w:eastAsia="方正大标宋简体"/>
          <w:bCs/>
          <w:sz w:val="32"/>
          <w:szCs w:val="32"/>
          <w:highlight w:val="none"/>
        </w:rPr>
        <w:t xml:space="preserve"> </w:t>
      </w:r>
    </w:p>
    <w:p>
      <w:pPr>
        <w:spacing w:line="500" w:lineRule="exact"/>
        <w:ind w:firstLine="1751" w:firstLineChars="545"/>
        <w:rPr>
          <w:rFonts w:ascii="方正大标宋简体" w:eastAsia="方正大标宋简体"/>
          <w:b/>
          <w:sz w:val="32"/>
          <w:szCs w:val="32"/>
          <w:highlight w:val="none"/>
        </w:rPr>
      </w:pPr>
    </w:p>
    <w:p>
      <w:pPr>
        <w:ind w:firstLine="1751" w:firstLineChars="545"/>
        <w:rPr>
          <w:rFonts w:ascii="方正大标宋简体" w:eastAsia="方正大标宋简体"/>
          <w:b/>
          <w:sz w:val="32"/>
          <w:szCs w:val="32"/>
          <w:highlight w:val="none"/>
        </w:rPr>
      </w:pPr>
      <w:r>
        <w:rPr>
          <w:rFonts w:hint="eastAsia" w:ascii="方正大标宋简体" w:eastAsia="方正大标宋简体"/>
          <w:b/>
          <w:sz w:val="32"/>
          <w:szCs w:val="32"/>
          <w:highlight w:val="none"/>
        </w:rPr>
        <w:t xml:space="preserve">          </w:t>
      </w:r>
    </w:p>
    <w:p>
      <w:pPr>
        <w:rPr>
          <w:rFonts w:ascii="方正大标宋简体" w:eastAsia="方正大标宋简体"/>
          <w:b/>
          <w:sz w:val="32"/>
          <w:szCs w:val="32"/>
          <w:highlight w:val="none"/>
        </w:rPr>
      </w:pPr>
    </w:p>
    <w:p>
      <w:pPr>
        <w:rPr>
          <w:rFonts w:ascii="方正大标宋简体" w:eastAsia="方正大标宋简体"/>
          <w:b/>
          <w:sz w:val="32"/>
          <w:szCs w:val="32"/>
          <w:highlight w:val="none"/>
        </w:rPr>
      </w:pPr>
    </w:p>
    <w:p>
      <w:pPr>
        <w:rPr>
          <w:rFonts w:ascii="方正大标宋简体" w:eastAsia="方正大标宋简体"/>
          <w:b/>
          <w:sz w:val="32"/>
          <w:szCs w:val="32"/>
          <w:highlight w:val="none"/>
        </w:rPr>
      </w:pPr>
    </w:p>
    <w:p>
      <w:pPr>
        <w:rPr>
          <w:rFonts w:ascii="方正大标宋简体" w:eastAsia="方正大标宋简体"/>
          <w:b/>
          <w:sz w:val="32"/>
          <w:szCs w:val="32"/>
          <w:highlight w:val="none"/>
        </w:rPr>
      </w:pPr>
    </w:p>
    <w:p>
      <w:pPr>
        <w:ind w:firstLine="2700" w:firstLineChars="900"/>
        <w:rPr>
          <w:rFonts w:ascii="方正大标宋简体" w:eastAsia="方正大标宋简体"/>
          <w:bCs/>
          <w:sz w:val="30"/>
          <w:szCs w:val="30"/>
          <w:highlight w:val="none"/>
        </w:rPr>
      </w:pPr>
      <w:r>
        <w:rPr>
          <w:rFonts w:hint="eastAsia" w:ascii="方正大标宋简体" w:eastAsia="方正大标宋简体"/>
          <w:bCs/>
          <w:sz w:val="30"/>
          <w:szCs w:val="30"/>
          <w:highlight w:val="none"/>
        </w:rPr>
        <w:t>采 购 人：济宁医学院</w:t>
      </w:r>
    </w:p>
    <w:p>
      <w:pPr>
        <w:jc w:val="center"/>
        <w:rPr>
          <w:rFonts w:ascii="方正大标宋简体" w:eastAsia="方正大标宋简体"/>
          <w:bCs/>
          <w:sz w:val="30"/>
          <w:szCs w:val="30"/>
          <w:highlight w:val="none"/>
        </w:rPr>
      </w:pPr>
      <w:r>
        <w:rPr>
          <w:rFonts w:hint="eastAsia" w:ascii="方正大标宋简体" w:eastAsia="方正大标宋简体"/>
          <w:bCs/>
          <w:sz w:val="30"/>
          <w:szCs w:val="30"/>
          <w:highlight w:val="none"/>
        </w:rPr>
        <w:t>代理机构：山东衡天咨询有限公司</w:t>
      </w:r>
    </w:p>
    <w:p>
      <w:pPr>
        <w:tabs>
          <w:tab w:val="left" w:pos="2520"/>
          <w:tab w:val="left" w:pos="2700"/>
        </w:tabs>
        <w:ind w:firstLine="2670" w:firstLineChars="890"/>
        <w:rPr>
          <w:rFonts w:ascii="黑体" w:eastAsia="黑体"/>
          <w:bCs/>
          <w:sz w:val="30"/>
          <w:szCs w:val="30"/>
          <w:highlight w:val="none"/>
        </w:rPr>
      </w:pPr>
      <w:r>
        <w:rPr>
          <w:rFonts w:hint="eastAsia" w:ascii="方正大标宋简体" w:eastAsia="方正大标宋简体"/>
          <w:bCs/>
          <w:sz w:val="30"/>
          <w:szCs w:val="30"/>
          <w:highlight w:val="none"/>
        </w:rPr>
        <w:t>日    期：二〇一九年五月</w:t>
      </w:r>
    </w:p>
    <w:p>
      <w:pPr>
        <w:spacing w:line="720" w:lineRule="exact"/>
        <w:jc w:val="center"/>
        <w:rPr>
          <w:rFonts w:ascii="黑体" w:hAnsi="黑体" w:eastAsia="黑体"/>
          <w:b/>
          <w:sz w:val="44"/>
          <w:szCs w:val="44"/>
          <w:highlight w:val="none"/>
        </w:rPr>
        <w:sectPr>
          <w:pgSz w:w="11906" w:h="16838"/>
          <w:pgMar w:top="1440" w:right="1080" w:bottom="1440" w:left="1080" w:header="851" w:footer="992" w:gutter="0"/>
          <w:pgNumType w:start="1"/>
          <w:cols w:space="720" w:num="1"/>
          <w:docGrid w:type="lines" w:linePitch="312" w:charSpace="0"/>
        </w:sectPr>
      </w:pPr>
      <w:bookmarkStart w:id="0" w:name="_Toc247085669"/>
      <w:bookmarkStart w:id="1" w:name="_Toc246996898"/>
      <w:bookmarkStart w:id="2" w:name="_Toc296602400"/>
    </w:p>
    <w:p>
      <w:pPr>
        <w:spacing w:line="720" w:lineRule="exact"/>
        <w:jc w:val="center"/>
        <w:rPr>
          <w:rFonts w:ascii="黑体" w:hAnsi="黑体" w:eastAsia="黑体"/>
          <w:b/>
          <w:sz w:val="44"/>
          <w:szCs w:val="44"/>
          <w:highlight w:val="none"/>
        </w:rPr>
      </w:pPr>
      <w:r>
        <w:rPr>
          <w:rFonts w:hint="eastAsia" w:ascii="黑体" w:hAnsi="黑体" w:eastAsia="黑体"/>
          <w:b/>
          <w:sz w:val="44"/>
          <w:szCs w:val="44"/>
          <w:highlight w:val="none"/>
        </w:rPr>
        <w:t>目   录</w:t>
      </w:r>
      <w:bookmarkEnd w:id="0"/>
      <w:bookmarkEnd w:id="1"/>
      <w:bookmarkEnd w:id="2"/>
    </w:p>
    <w:p>
      <w:pPr>
        <w:pStyle w:val="16"/>
        <w:tabs>
          <w:tab w:val="right" w:leader="dot" w:pos="9746"/>
        </w:tabs>
        <w:rPr>
          <w:sz w:val="28"/>
          <w:szCs w:val="40"/>
          <w:highlight w:val="none"/>
        </w:rPr>
      </w:pPr>
      <w:bookmarkStart w:id="3" w:name="_Toc247085670"/>
      <w:bookmarkStart w:id="4" w:name="_Toc246996899"/>
      <w:bookmarkStart w:id="5" w:name="_Toc246996156"/>
      <w:r>
        <w:rPr>
          <w:rFonts w:ascii="宋体" w:hAnsi="宋体"/>
          <w:b w:val="0"/>
          <w:bCs w:val="0"/>
          <w:iCs/>
          <w:caps w:val="0"/>
          <w:sz w:val="44"/>
          <w:szCs w:val="44"/>
          <w:highlight w:val="none"/>
        </w:rPr>
        <w:fldChar w:fldCharType="begin"/>
      </w:r>
      <w:r>
        <w:rPr>
          <w:rFonts w:ascii="宋体" w:hAnsi="宋体"/>
          <w:b w:val="0"/>
          <w:bCs w:val="0"/>
          <w:iCs/>
          <w:caps w:val="0"/>
          <w:sz w:val="44"/>
          <w:szCs w:val="44"/>
          <w:highlight w:val="none"/>
        </w:rPr>
        <w:instrText xml:space="preserve"> TOC \o \h \z \u </w:instrText>
      </w:r>
      <w:r>
        <w:rPr>
          <w:rFonts w:ascii="宋体" w:hAnsi="宋体"/>
          <w:b w:val="0"/>
          <w:bCs w:val="0"/>
          <w:iCs/>
          <w:caps w:val="0"/>
          <w:sz w:val="44"/>
          <w:szCs w:val="44"/>
          <w:highlight w:val="none"/>
        </w:rPr>
        <w:fldChar w:fldCharType="separate"/>
      </w:r>
      <w:r>
        <w:rPr>
          <w:highlight w:val="none"/>
        </w:rPr>
        <w:fldChar w:fldCharType="begin"/>
      </w:r>
      <w:r>
        <w:rPr>
          <w:highlight w:val="none"/>
        </w:rPr>
        <w:instrText xml:space="preserve"> HYPERLINK \l "_Toc18387" </w:instrText>
      </w:r>
      <w:r>
        <w:rPr>
          <w:highlight w:val="none"/>
        </w:rPr>
        <w:fldChar w:fldCharType="separate"/>
      </w:r>
      <w:r>
        <w:rPr>
          <w:rFonts w:hint="eastAsia"/>
          <w:sz w:val="28"/>
          <w:szCs w:val="40"/>
          <w:highlight w:val="none"/>
        </w:rPr>
        <w:t>第一章 竞争性磋商公告</w:t>
      </w:r>
      <w:r>
        <w:rPr>
          <w:sz w:val="28"/>
          <w:szCs w:val="40"/>
          <w:highlight w:val="none"/>
        </w:rPr>
        <w:tab/>
      </w:r>
      <w:r>
        <w:rPr>
          <w:sz w:val="28"/>
          <w:szCs w:val="40"/>
          <w:highlight w:val="none"/>
        </w:rPr>
        <w:fldChar w:fldCharType="begin"/>
      </w:r>
      <w:r>
        <w:rPr>
          <w:sz w:val="28"/>
          <w:szCs w:val="40"/>
          <w:highlight w:val="none"/>
        </w:rPr>
        <w:instrText xml:space="preserve"> PAGEREF _Toc18387 </w:instrText>
      </w:r>
      <w:r>
        <w:rPr>
          <w:sz w:val="28"/>
          <w:szCs w:val="40"/>
          <w:highlight w:val="none"/>
        </w:rPr>
        <w:fldChar w:fldCharType="separate"/>
      </w:r>
      <w:r>
        <w:rPr>
          <w:sz w:val="28"/>
          <w:szCs w:val="40"/>
          <w:highlight w:val="none"/>
        </w:rPr>
        <w:t>2</w:t>
      </w:r>
      <w:r>
        <w:rPr>
          <w:sz w:val="28"/>
          <w:szCs w:val="40"/>
          <w:highlight w:val="none"/>
        </w:rPr>
        <w:fldChar w:fldCharType="end"/>
      </w:r>
      <w:r>
        <w:rPr>
          <w:sz w:val="28"/>
          <w:szCs w:val="40"/>
          <w:highlight w:val="none"/>
        </w:rPr>
        <w:fldChar w:fldCharType="end"/>
      </w:r>
    </w:p>
    <w:p>
      <w:pPr>
        <w:pStyle w:val="16"/>
        <w:tabs>
          <w:tab w:val="right" w:leader="dot" w:pos="9746"/>
        </w:tabs>
        <w:rPr>
          <w:sz w:val="28"/>
          <w:szCs w:val="40"/>
          <w:highlight w:val="none"/>
        </w:rPr>
      </w:pPr>
      <w:r>
        <w:rPr>
          <w:highlight w:val="none"/>
        </w:rPr>
        <w:fldChar w:fldCharType="begin"/>
      </w:r>
      <w:r>
        <w:rPr>
          <w:highlight w:val="none"/>
        </w:rPr>
        <w:instrText xml:space="preserve"> HYPERLINK \l "_Toc5138" </w:instrText>
      </w:r>
      <w:r>
        <w:rPr>
          <w:highlight w:val="none"/>
        </w:rPr>
        <w:fldChar w:fldCharType="separate"/>
      </w:r>
      <w:r>
        <w:rPr>
          <w:rFonts w:hint="eastAsia"/>
          <w:sz w:val="28"/>
          <w:szCs w:val="40"/>
          <w:highlight w:val="none"/>
        </w:rPr>
        <w:t>第二章 供应商须知前附表</w:t>
      </w:r>
      <w:r>
        <w:rPr>
          <w:sz w:val="28"/>
          <w:szCs w:val="40"/>
          <w:highlight w:val="none"/>
        </w:rPr>
        <w:tab/>
      </w:r>
      <w:r>
        <w:rPr>
          <w:sz w:val="28"/>
          <w:szCs w:val="40"/>
          <w:highlight w:val="none"/>
        </w:rPr>
        <w:fldChar w:fldCharType="begin"/>
      </w:r>
      <w:r>
        <w:rPr>
          <w:sz w:val="28"/>
          <w:szCs w:val="40"/>
          <w:highlight w:val="none"/>
        </w:rPr>
        <w:instrText xml:space="preserve"> PAGEREF _Toc5138 </w:instrText>
      </w:r>
      <w:r>
        <w:rPr>
          <w:sz w:val="28"/>
          <w:szCs w:val="40"/>
          <w:highlight w:val="none"/>
        </w:rPr>
        <w:fldChar w:fldCharType="separate"/>
      </w:r>
      <w:r>
        <w:rPr>
          <w:sz w:val="28"/>
          <w:szCs w:val="40"/>
          <w:highlight w:val="none"/>
        </w:rPr>
        <w:t>4</w:t>
      </w:r>
      <w:r>
        <w:rPr>
          <w:sz w:val="28"/>
          <w:szCs w:val="40"/>
          <w:highlight w:val="none"/>
        </w:rPr>
        <w:fldChar w:fldCharType="end"/>
      </w:r>
      <w:r>
        <w:rPr>
          <w:sz w:val="28"/>
          <w:szCs w:val="40"/>
          <w:highlight w:val="none"/>
        </w:rPr>
        <w:fldChar w:fldCharType="end"/>
      </w:r>
    </w:p>
    <w:p>
      <w:pPr>
        <w:pStyle w:val="16"/>
        <w:tabs>
          <w:tab w:val="right" w:leader="dot" w:pos="9746"/>
        </w:tabs>
        <w:rPr>
          <w:sz w:val="28"/>
          <w:szCs w:val="40"/>
          <w:highlight w:val="none"/>
        </w:rPr>
      </w:pPr>
      <w:r>
        <w:rPr>
          <w:highlight w:val="none"/>
        </w:rPr>
        <w:fldChar w:fldCharType="begin"/>
      </w:r>
      <w:r>
        <w:rPr>
          <w:highlight w:val="none"/>
        </w:rPr>
        <w:instrText xml:space="preserve"> HYPERLINK \l "_Toc20162" </w:instrText>
      </w:r>
      <w:r>
        <w:rPr>
          <w:highlight w:val="none"/>
        </w:rPr>
        <w:fldChar w:fldCharType="separate"/>
      </w:r>
      <w:r>
        <w:rPr>
          <w:rFonts w:hint="eastAsia"/>
          <w:sz w:val="28"/>
          <w:szCs w:val="40"/>
          <w:highlight w:val="none"/>
        </w:rPr>
        <w:t>第三章 评标办法</w:t>
      </w:r>
      <w:r>
        <w:rPr>
          <w:sz w:val="28"/>
          <w:szCs w:val="40"/>
          <w:highlight w:val="none"/>
        </w:rPr>
        <w:tab/>
      </w:r>
      <w:r>
        <w:rPr>
          <w:sz w:val="28"/>
          <w:szCs w:val="40"/>
          <w:highlight w:val="none"/>
        </w:rPr>
        <w:fldChar w:fldCharType="begin"/>
      </w:r>
      <w:r>
        <w:rPr>
          <w:sz w:val="28"/>
          <w:szCs w:val="40"/>
          <w:highlight w:val="none"/>
        </w:rPr>
        <w:instrText xml:space="preserve"> PAGEREF _Toc20162 </w:instrText>
      </w:r>
      <w:r>
        <w:rPr>
          <w:sz w:val="28"/>
          <w:szCs w:val="40"/>
          <w:highlight w:val="none"/>
        </w:rPr>
        <w:fldChar w:fldCharType="separate"/>
      </w:r>
      <w:r>
        <w:rPr>
          <w:sz w:val="28"/>
          <w:szCs w:val="40"/>
          <w:highlight w:val="none"/>
        </w:rPr>
        <w:t>20</w:t>
      </w:r>
      <w:r>
        <w:rPr>
          <w:sz w:val="28"/>
          <w:szCs w:val="40"/>
          <w:highlight w:val="none"/>
        </w:rPr>
        <w:fldChar w:fldCharType="end"/>
      </w:r>
      <w:r>
        <w:rPr>
          <w:sz w:val="28"/>
          <w:szCs w:val="40"/>
          <w:highlight w:val="none"/>
        </w:rPr>
        <w:fldChar w:fldCharType="end"/>
      </w:r>
    </w:p>
    <w:p>
      <w:pPr>
        <w:pStyle w:val="16"/>
        <w:tabs>
          <w:tab w:val="right" w:leader="dot" w:pos="9746"/>
        </w:tabs>
        <w:rPr>
          <w:sz w:val="28"/>
          <w:szCs w:val="40"/>
          <w:highlight w:val="none"/>
        </w:rPr>
      </w:pPr>
      <w:r>
        <w:rPr>
          <w:highlight w:val="none"/>
        </w:rPr>
        <w:fldChar w:fldCharType="begin"/>
      </w:r>
      <w:r>
        <w:rPr>
          <w:highlight w:val="none"/>
        </w:rPr>
        <w:instrText xml:space="preserve"> HYPERLINK \l "_Toc29439" </w:instrText>
      </w:r>
      <w:r>
        <w:rPr>
          <w:highlight w:val="none"/>
        </w:rPr>
        <w:fldChar w:fldCharType="separate"/>
      </w:r>
      <w:r>
        <w:rPr>
          <w:rFonts w:hint="eastAsia"/>
          <w:sz w:val="28"/>
          <w:szCs w:val="40"/>
          <w:highlight w:val="none"/>
        </w:rPr>
        <w:t>第四章 合同条款及格式</w:t>
      </w:r>
      <w:r>
        <w:rPr>
          <w:sz w:val="28"/>
          <w:szCs w:val="40"/>
          <w:highlight w:val="none"/>
        </w:rPr>
        <w:tab/>
      </w:r>
      <w:r>
        <w:rPr>
          <w:sz w:val="28"/>
          <w:szCs w:val="40"/>
          <w:highlight w:val="none"/>
        </w:rPr>
        <w:fldChar w:fldCharType="begin"/>
      </w:r>
      <w:r>
        <w:rPr>
          <w:sz w:val="28"/>
          <w:szCs w:val="40"/>
          <w:highlight w:val="none"/>
        </w:rPr>
        <w:instrText xml:space="preserve"> PAGEREF _Toc29439 </w:instrText>
      </w:r>
      <w:r>
        <w:rPr>
          <w:sz w:val="28"/>
          <w:szCs w:val="40"/>
          <w:highlight w:val="none"/>
        </w:rPr>
        <w:fldChar w:fldCharType="separate"/>
      </w:r>
      <w:r>
        <w:rPr>
          <w:sz w:val="28"/>
          <w:szCs w:val="40"/>
          <w:highlight w:val="none"/>
        </w:rPr>
        <w:t>26</w:t>
      </w:r>
      <w:r>
        <w:rPr>
          <w:sz w:val="28"/>
          <w:szCs w:val="40"/>
          <w:highlight w:val="none"/>
        </w:rPr>
        <w:fldChar w:fldCharType="end"/>
      </w:r>
      <w:r>
        <w:rPr>
          <w:sz w:val="28"/>
          <w:szCs w:val="40"/>
          <w:highlight w:val="none"/>
        </w:rPr>
        <w:fldChar w:fldCharType="end"/>
      </w:r>
    </w:p>
    <w:p>
      <w:pPr>
        <w:pStyle w:val="16"/>
        <w:tabs>
          <w:tab w:val="right" w:leader="dot" w:pos="9746"/>
        </w:tabs>
        <w:rPr>
          <w:sz w:val="28"/>
          <w:szCs w:val="40"/>
          <w:highlight w:val="none"/>
        </w:rPr>
      </w:pPr>
      <w:r>
        <w:rPr>
          <w:highlight w:val="none"/>
        </w:rPr>
        <w:fldChar w:fldCharType="begin"/>
      </w:r>
      <w:r>
        <w:rPr>
          <w:highlight w:val="none"/>
        </w:rPr>
        <w:instrText xml:space="preserve"> HYPERLINK \l "_Toc11347" </w:instrText>
      </w:r>
      <w:r>
        <w:rPr>
          <w:highlight w:val="none"/>
        </w:rPr>
        <w:fldChar w:fldCharType="separate"/>
      </w:r>
      <w:r>
        <w:rPr>
          <w:rFonts w:hint="eastAsia"/>
          <w:sz w:val="28"/>
          <w:szCs w:val="40"/>
          <w:highlight w:val="none"/>
        </w:rPr>
        <w:t>第五章 项目标准和要求</w:t>
      </w:r>
      <w:r>
        <w:rPr>
          <w:sz w:val="28"/>
          <w:szCs w:val="40"/>
          <w:highlight w:val="none"/>
        </w:rPr>
        <w:tab/>
      </w:r>
      <w:r>
        <w:rPr>
          <w:sz w:val="28"/>
          <w:szCs w:val="40"/>
          <w:highlight w:val="none"/>
        </w:rPr>
        <w:fldChar w:fldCharType="begin"/>
      </w:r>
      <w:r>
        <w:rPr>
          <w:sz w:val="28"/>
          <w:szCs w:val="40"/>
          <w:highlight w:val="none"/>
        </w:rPr>
        <w:instrText xml:space="preserve"> PAGEREF _Toc11347 </w:instrText>
      </w:r>
      <w:r>
        <w:rPr>
          <w:sz w:val="28"/>
          <w:szCs w:val="40"/>
          <w:highlight w:val="none"/>
        </w:rPr>
        <w:fldChar w:fldCharType="separate"/>
      </w:r>
      <w:r>
        <w:rPr>
          <w:sz w:val="28"/>
          <w:szCs w:val="40"/>
          <w:highlight w:val="none"/>
        </w:rPr>
        <w:t>27</w:t>
      </w:r>
      <w:r>
        <w:rPr>
          <w:sz w:val="28"/>
          <w:szCs w:val="40"/>
          <w:highlight w:val="none"/>
        </w:rPr>
        <w:fldChar w:fldCharType="end"/>
      </w:r>
      <w:r>
        <w:rPr>
          <w:sz w:val="28"/>
          <w:szCs w:val="40"/>
          <w:highlight w:val="none"/>
        </w:rPr>
        <w:fldChar w:fldCharType="end"/>
      </w:r>
    </w:p>
    <w:p>
      <w:pPr>
        <w:pStyle w:val="16"/>
        <w:tabs>
          <w:tab w:val="right" w:leader="dot" w:pos="9746"/>
        </w:tabs>
        <w:rPr>
          <w:sz w:val="28"/>
          <w:szCs w:val="40"/>
          <w:highlight w:val="none"/>
        </w:rPr>
      </w:pPr>
      <w:r>
        <w:rPr>
          <w:highlight w:val="none"/>
        </w:rPr>
        <w:fldChar w:fldCharType="begin"/>
      </w:r>
      <w:r>
        <w:rPr>
          <w:highlight w:val="none"/>
        </w:rPr>
        <w:instrText xml:space="preserve"> HYPERLINK \l "_Toc18220" </w:instrText>
      </w:r>
      <w:r>
        <w:rPr>
          <w:highlight w:val="none"/>
        </w:rPr>
        <w:fldChar w:fldCharType="separate"/>
      </w:r>
      <w:r>
        <w:rPr>
          <w:rFonts w:hint="eastAsia" w:ascii="宋体" w:hAnsi="宋体"/>
          <w:sz w:val="28"/>
          <w:szCs w:val="72"/>
          <w:highlight w:val="none"/>
        </w:rPr>
        <w:t xml:space="preserve">第六章 </w:t>
      </w:r>
      <w:r>
        <w:rPr>
          <w:rFonts w:hint="eastAsia"/>
          <w:kern w:val="44"/>
          <w:sz w:val="28"/>
          <w:szCs w:val="72"/>
          <w:highlight w:val="none"/>
        </w:rPr>
        <w:t>响应文件格式</w:t>
      </w:r>
      <w:r>
        <w:rPr>
          <w:sz w:val="28"/>
          <w:szCs w:val="40"/>
          <w:highlight w:val="none"/>
        </w:rPr>
        <w:tab/>
      </w:r>
      <w:r>
        <w:rPr>
          <w:sz w:val="28"/>
          <w:szCs w:val="40"/>
          <w:highlight w:val="none"/>
        </w:rPr>
        <w:fldChar w:fldCharType="begin"/>
      </w:r>
      <w:r>
        <w:rPr>
          <w:sz w:val="28"/>
          <w:szCs w:val="40"/>
          <w:highlight w:val="none"/>
        </w:rPr>
        <w:instrText xml:space="preserve"> PAGEREF _Toc18220 </w:instrText>
      </w:r>
      <w:r>
        <w:rPr>
          <w:sz w:val="28"/>
          <w:szCs w:val="40"/>
          <w:highlight w:val="none"/>
        </w:rPr>
        <w:fldChar w:fldCharType="separate"/>
      </w:r>
      <w:r>
        <w:rPr>
          <w:sz w:val="28"/>
          <w:szCs w:val="40"/>
          <w:highlight w:val="none"/>
        </w:rPr>
        <w:t>30</w:t>
      </w:r>
      <w:r>
        <w:rPr>
          <w:sz w:val="28"/>
          <w:szCs w:val="40"/>
          <w:highlight w:val="none"/>
        </w:rPr>
        <w:fldChar w:fldCharType="end"/>
      </w:r>
      <w:r>
        <w:rPr>
          <w:sz w:val="28"/>
          <w:szCs w:val="40"/>
          <w:highlight w:val="none"/>
        </w:rPr>
        <w:fldChar w:fldCharType="end"/>
      </w:r>
    </w:p>
    <w:p>
      <w:pPr>
        <w:pStyle w:val="3"/>
        <w:jc w:val="center"/>
        <w:rPr>
          <w:rFonts w:ascii="宋体" w:hAnsi="宋体"/>
          <w:b w:val="0"/>
          <w:bCs w:val="0"/>
          <w:iCs/>
          <w:caps/>
          <w:kern w:val="2"/>
          <w:sz w:val="28"/>
          <w:szCs w:val="28"/>
          <w:highlight w:val="none"/>
        </w:rPr>
        <w:sectPr>
          <w:footerReference r:id="rId3" w:type="default"/>
          <w:pgSz w:w="11906" w:h="16838"/>
          <w:pgMar w:top="1440" w:right="1080" w:bottom="1440" w:left="1080" w:header="851" w:footer="992" w:gutter="0"/>
          <w:pgNumType w:start="1"/>
          <w:cols w:space="720" w:num="1"/>
          <w:docGrid w:type="lines" w:linePitch="312" w:charSpace="0"/>
        </w:sectPr>
      </w:pPr>
      <w:r>
        <w:rPr>
          <w:rFonts w:ascii="宋体" w:hAnsi="宋体"/>
          <w:bCs w:val="0"/>
          <w:iCs/>
          <w:caps/>
          <w:kern w:val="2"/>
          <w:sz w:val="72"/>
          <w:highlight w:val="none"/>
        </w:rPr>
        <w:fldChar w:fldCharType="end"/>
      </w:r>
      <w:bookmarkEnd w:id="3"/>
      <w:bookmarkEnd w:id="4"/>
      <w:bookmarkEnd w:id="5"/>
      <w:bookmarkStart w:id="6" w:name="_Toc152042287"/>
      <w:bookmarkStart w:id="7" w:name="_Toc144974479"/>
      <w:bookmarkStart w:id="8" w:name="_Toc179632527"/>
      <w:bookmarkStart w:id="9" w:name="_Toc152045511"/>
    </w:p>
    <w:p>
      <w:pPr>
        <w:pStyle w:val="3"/>
        <w:numPr>
          <w:ilvl w:val="0"/>
          <w:numId w:val="1"/>
        </w:numPr>
        <w:spacing w:after="120" w:line="360" w:lineRule="auto"/>
        <w:jc w:val="center"/>
        <w:rPr>
          <w:highlight w:val="none"/>
        </w:rPr>
      </w:pPr>
      <w:bookmarkStart w:id="10" w:name="_Toc246996157"/>
      <w:bookmarkStart w:id="11" w:name="_Toc247085671"/>
      <w:bookmarkStart w:id="12" w:name="_Toc247096243"/>
      <w:bookmarkStart w:id="13" w:name="_Toc246996900"/>
      <w:bookmarkStart w:id="14" w:name="_Toc18387"/>
      <w:r>
        <w:rPr>
          <w:rFonts w:hint="eastAsia"/>
          <w:highlight w:val="none"/>
        </w:rPr>
        <w:t>竞争性磋商公告</w:t>
      </w:r>
      <w:bookmarkEnd w:id="6"/>
      <w:bookmarkEnd w:id="7"/>
      <w:bookmarkEnd w:id="8"/>
      <w:bookmarkEnd w:id="9"/>
      <w:bookmarkEnd w:id="10"/>
      <w:bookmarkEnd w:id="11"/>
      <w:bookmarkEnd w:id="12"/>
      <w:bookmarkEnd w:id="13"/>
      <w:bookmarkEnd w:id="14"/>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济宁医学院日照校区生物医药教学科研平台房屋改造装修项目设计(二次)经有关部门批准，现对其进行竞争性磋商招标，择优选定设计单位，有关事宜公告如下：</w:t>
      </w:r>
    </w:p>
    <w:p>
      <w:pPr>
        <w:spacing w:line="360" w:lineRule="auto"/>
        <w:rPr>
          <w:rFonts w:ascii="宋体" w:hAnsi="宋体" w:eastAsia="宋体" w:cs="宋体"/>
          <w:sz w:val="24"/>
          <w:highlight w:val="none"/>
        </w:rPr>
      </w:pPr>
      <w:r>
        <w:rPr>
          <w:rFonts w:hint="eastAsia" w:ascii="宋体" w:hAnsi="宋体" w:eastAsia="宋体" w:cs="宋体"/>
          <w:sz w:val="24"/>
          <w:highlight w:val="none"/>
        </w:rPr>
        <w:t>一、项目基本信息</w:t>
      </w:r>
    </w:p>
    <w:p>
      <w:pPr>
        <w:spacing w:line="360" w:lineRule="auto"/>
        <w:rPr>
          <w:rFonts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eastAsia="宋体" w:cs="宋体"/>
          <w:sz w:val="24"/>
          <w:highlight w:val="none"/>
          <w:lang w:val="en-US" w:eastAsia="zh-CN"/>
        </w:rPr>
        <w:t>HT-2019-SJ-056</w:t>
      </w:r>
      <w:r>
        <w:rPr>
          <w:rFonts w:hint="eastAsia" w:ascii="宋体" w:hAnsi="宋体" w:eastAsia="宋体" w:cs="宋体"/>
          <w:sz w:val="24"/>
          <w:highlight w:val="none"/>
        </w:rPr>
        <w:t xml:space="preserve"> </w:t>
      </w:r>
    </w:p>
    <w:p>
      <w:pPr>
        <w:spacing w:line="360" w:lineRule="auto"/>
        <w:rPr>
          <w:rFonts w:ascii="宋体" w:hAnsi="宋体" w:eastAsia="宋体" w:cs="宋体"/>
          <w:sz w:val="24"/>
          <w:highlight w:val="none"/>
        </w:rPr>
      </w:pPr>
      <w:r>
        <w:rPr>
          <w:rFonts w:hint="eastAsia" w:ascii="宋体" w:hAnsi="宋体" w:eastAsia="宋体" w:cs="宋体"/>
          <w:sz w:val="24"/>
          <w:highlight w:val="none"/>
        </w:rPr>
        <w:t>2、工程名称：济宁医学院日照校区生物医药教学科研平台房屋改造装修项目设计(二次)</w:t>
      </w:r>
    </w:p>
    <w:p>
      <w:pPr>
        <w:spacing w:line="360" w:lineRule="auto"/>
        <w:rPr>
          <w:rFonts w:ascii="宋体" w:hAnsi="宋体" w:eastAsia="宋体" w:cs="宋体"/>
          <w:sz w:val="24"/>
          <w:highlight w:val="none"/>
        </w:rPr>
      </w:pPr>
      <w:r>
        <w:rPr>
          <w:rFonts w:hint="eastAsia" w:ascii="宋体" w:hAnsi="宋体" w:eastAsia="宋体" w:cs="宋体"/>
          <w:sz w:val="24"/>
          <w:highlight w:val="none"/>
        </w:rPr>
        <w:t>3、标段划分： 一个标段</w:t>
      </w:r>
    </w:p>
    <w:p>
      <w:pPr>
        <w:spacing w:line="360" w:lineRule="auto"/>
        <w:rPr>
          <w:rFonts w:ascii="宋体" w:hAnsi="宋体" w:eastAsia="宋体" w:cs="宋体"/>
          <w:sz w:val="24"/>
          <w:highlight w:val="none"/>
        </w:rPr>
      </w:pPr>
      <w:r>
        <w:rPr>
          <w:rFonts w:hint="eastAsia" w:ascii="宋体" w:hAnsi="宋体" w:eastAsia="宋体" w:cs="宋体"/>
          <w:sz w:val="24"/>
          <w:highlight w:val="none"/>
        </w:rPr>
        <w:t>4、工程概况：本项目为济宁医学院日照校区生物医药教学科研平台房屋改造装修项目设计(二次)，本次设计任务主要在济宁医学院日照校区药学与生物实验楼现有土建、水电等条件基础上进行（面积约4500平方米）。区域为A、C区4楼、5楼和B区4楼，设计任务范围含方案设计、初步设计及概算、施工图设计（含建筑、暖通、给排水、电气、总图）、施工现场配合服务、咨询服务等。(具体详见采购内容及项目要求)。</w:t>
      </w:r>
    </w:p>
    <w:p>
      <w:pPr>
        <w:spacing w:line="360" w:lineRule="auto"/>
        <w:rPr>
          <w:rFonts w:ascii="宋体" w:hAnsi="宋体" w:eastAsia="宋体" w:cs="宋体"/>
          <w:sz w:val="24"/>
          <w:highlight w:val="none"/>
        </w:rPr>
      </w:pPr>
      <w:r>
        <w:rPr>
          <w:rFonts w:hint="eastAsia" w:ascii="宋体" w:hAnsi="宋体" w:eastAsia="宋体" w:cs="宋体"/>
          <w:sz w:val="24"/>
          <w:highlight w:val="none"/>
        </w:rPr>
        <w:t>二、供应商资格要求</w:t>
      </w:r>
    </w:p>
    <w:p>
      <w:pPr>
        <w:spacing w:line="360" w:lineRule="auto"/>
        <w:rPr>
          <w:rFonts w:ascii="宋体" w:hAnsi="宋体" w:eastAsia="宋体" w:cs="宋体"/>
          <w:sz w:val="24"/>
          <w:highlight w:val="none"/>
        </w:rPr>
      </w:pPr>
      <w:r>
        <w:rPr>
          <w:rFonts w:hint="eastAsia" w:ascii="宋体" w:hAnsi="宋体" w:eastAsia="宋体" w:cs="宋体"/>
          <w:sz w:val="24"/>
          <w:highlight w:val="none"/>
        </w:rPr>
        <w:t>1、具备独立法人资格；</w:t>
      </w:r>
    </w:p>
    <w:p>
      <w:pPr>
        <w:spacing w:line="360" w:lineRule="auto"/>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b w:val="0"/>
          <w:bCs w:val="0"/>
          <w:sz w:val="24"/>
          <w:highlight w:val="none"/>
        </w:rPr>
        <w:t>具备工程设计建筑行业（建筑工程）丙级及以上资质或建筑装饰装修工程专项设计乙级及以上资质或工程设计综合甲级资质</w:t>
      </w:r>
      <w:r>
        <w:rPr>
          <w:rFonts w:hint="eastAsia" w:ascii="宋体" w:hAnsi="宋体" w:eastAsia="宋体" w:cs="宋体"/>
          <w:sz w:val="24"/>
          <w:highlight w:val="none"/>
        </w:rPr>
        <w:t>，在设备、人员和技术等方面具备该项目的服务能力；</w:t>
      </w:r>
    </w:p>
    <w:p>
      <w:pPr>
        <w:spacing w:line="360" w:lineRule="auto"/>
        <w:rPr>
          <w:rFonts w:ascii="宋体" w:hAnsi="宋体" w:eastAsia="宋体" w:cs="宋体"/>
          <w:sz w:val="24"/>
          <w:highlight w:val="none"/>
        </w:rPr>
      </w:pPr>
      <w:r>
        <w:rPr>
          <w:rFonts w:hint="eastAsia" w:ascii="宋体" w:hAnsi="宋体" w:eastAsia="宋体" w:cs="宋体"/>
          <w:sz w:val="24"/>
          <w:highlight w:val="none"/>
        </w:rPr>
        <w:t>3、具备有效的营业执照；</w:t>
      </w:r>
    </w:p>
    <w:p>
      <w:pPr>
        <w:spacing w:line="360" w:lineRule="auto"/>
        <w:rPr>
          <w:rFonts w:ascii="宋体" w:hAnsi="宋体" w:eastAsia="宋体" w:cs="宋体"/>
          <w:sz w:val="24"/>
          <w:highlight w:val="none"/>
        </w:rPr>
      </w:pPr>
      <w:r>
        <w:rPr>
          <w:rFonts w:hint="eastAsia" w:ascii="宋体" w:hAnsi="宋体" w:eastAsia="宋体" w:cs="宋体"/>
          <w:sz w:val="24"/>
          <w:highlight w:val="none"/>
        </w:rPr>
        <w:t>4、未被暂停或取消济宁市范围内招标项目的投标资格；</w:t>
      </w:r>
    </w:p>
    <w:p>
      <w:pPr>
        <w:spacing w:line="360" w:lineRule="auto"/>
        <w:rPr>
          <w:rFonts w:ascii="宋体" w:hAnsi="宋体" w:eastAsia="宋体" w:cs="宋体"/>
          <w:sz w:val="24"/>
          <w:highlight w:val="none"/>
        </w:rPr>
      </w:pPr>
      <w:r>
        <w:rPr>
          <w:rFonts w:hint="eastAsia" w:ascii="宋体" w:hAnsi="宋体" w:eastAsia="宋体" w:cs="宋体"/>
          <w:sz w:val="24"/>
          <w:highlight w:val="none"/>
        </w:rPr>
        <w:t>5、供应商须满足《中华人民共和国政府采购法》第22条规定；</w:t>
      </w:r>
    </w:p>
    <w:p>
      <w:pPr>
        <w:spacing w:line="360" w:lineRule="auto"/>
        <w:rPr>
          <w:rFonts w:ascii="宋体" w:hAnsi="宋体" w:eastAsia="宋体" w:cs="宋体"/>
          <w:sz w:val="24"/>
          <w:highlight w:val="none"/>
        </w:rPr>
      </w:pPr>
      <w:r>
        <w:rPr>
          <w:rFonts w:hint="eastAsia" w:ascii="宋体" w:hAnsi="宋体" w:eastAsia="宋体" w:cs="宋体"/>
          <w:sz w:val="24"/>
          <w:highlight w:val="none"/>
        </w:rPr>
        <w:t>6、本工程不接受联合体投标；</w:t>
      </w:r>
    </w:p>
    <w:p>
      <w:pPr>
        <w:spacing w:line="360" w:lineRule="auto"/>
        <w:rPr>
          <w:rFonts w:ascii="宋体" w:hAnsi="宋体" w:eastAsia="宋体" w:cs="宋体"/>
          <w:sz w:val="24"/>
          <w:highlight w:val="none"/>
        </w:rPr>
      </w:pPr>
      <w:r>
        <w:rPr>
          <w:rFonts w:hint="eastAsia" w:ascii="宋体" w:hAnsi="宋体" w:eastAsia="宋体" w:cs="宋体"/>
          <w:sz w:val="24"/>
          <w:highlight w:val="none"/>
        </w:rPr>
        <w:t>7、资格审查方式：资格后审；</w:t>
      </w:r>
    </w:p>
    <w:p>
      <w:pPr>
        <w:spacing w:line="360" w:lineRule="auto"/>
        <w:rPr>
          <w:rFonts w:ascii="宋体" w:hAnsi="宋体" w:eastAsia="宋体" w:cs="宋体"/>
          <w:sz w:val="24"/>
          <w:highlight w:val="none"/>
        </w:rPr>
      </w:pPr>
      <w:r>
        <w:rPr>
          <w:rFonts w:hint="eastAsia" w:ascii="宋体" w:hAnsi="宋体" w:eastAsia="宋体" w:cs="宋体"/>
          <w:sz w:val="24"/>
          <w:highlight w:val="none"/>
        </w:rPr>
        <w:t>三、报名时间、地点及需要携带的证件：</w:t>
      </w:r>
    </w:p>
    <w:p>
      <w:pPr>
        <w:spacing w:line="360" w:lineRule="auto"/>
        <w:rPr>
          <w:rFonts w:ascii="宋体" w:hAnsi="宋体" w:eastAsia="宋体" w:cs="宋体"/>
          <w:sz w:val="24"/>
          <w:highlight w:val="none"/>
        </w:rPr>
      </w:pPr>
      <w:r>
        <w:rPr>
          <w:rFonts w:hint="eastAsia" w:ascii="宋体" w:hAnsi="宋体" w:eastAsia="宋体" w:cs="宋体"/>
          <w:sz w:val="24"/>
          <w:highlight w:val="none"/>
        </w:rPr>
        <w:t>有意参加本项目的供应商请于2019年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21</w:t>
      </w:r>
      <w:r>
        <w:rPr>
          <w:rFonts w:hint="eastAsia" w:ascii="宋体" w:hAnsi="宋体" w:eastAsia="宋体" w:cs="宋体"/>
          <w:sz w:val="24"/>
          <w:highlight w:val="none"/>
        </w:rPr>
        <w:t>日-2019年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27</w:t>
      </w:r>
      <w:r>
        <w:rPr>
          <w:rFonts w:hint="eastAsia" w:ascii="宋体" w:hAnsi="宋体" w:eastAsia="宋体" w:cs="宋体"/>
          <w:sz w:val="24"/>
          <w:highlight w:val="none"/>
        </w:rPr>
        <w:t xml:space="preserve"> 日（上午8:00-12:00，下午14:00-18:00）携带营业执照副本、资质证书、法人授权委托书及委托代理人身份证（原件）。上述资料还需提供一套原件或加盖公章的复印件到山东衡天咨询有限公司（济宁市任城大道翠都国际A座22楼）报名。</w:t>
      </w:r>
    </w:p>
    <w:p>
      <w:pPr>
        <w:spacing w:line="360" w:lineRule="auto"/>
        <w:rPr>
          <w:rFonts w:ascii="宋体" w:hAnsi="宋体" w:eastAsia="宋体" w:cs="宋体"/>
          <w:sz w:val="24"/>
          <w:highlight w:val="none"/>
        </w:rPr>
      </w:pPr>
      <w:r>
        <w:rPr>
          <w:rFonts w:hint="eastAsia" w:ascii="宋体" w:hAnsi="宋体" w:eastAsia="宋体" w:cs="宋体"/>
          <w:sz w:val="24"/>
          <w:highlight w:val="none"/>
        </w:rPr>
        <w:t>标书费：400元/份（售后不退）</w:t>
      </w:r>
    </w:p>
    <w:p>
      <w:pPr>
        <w:spacing w:line="360" w:lineRule="auto"/>
        <w:rPr>
          <w:rFonts w:ascii="宋体" w:hAnsi="宋体" w:eastAsia="宋体" w:cs="宋体"/>
          <w:sz w:val="24"/>
          <w:highlight w:val="none"/>
        </w:rPr>
      </w:pPr>
      <w:r>
        <w:rPr>
          <w:rFonts w:hint="eastAsia" w:ascii="宋体" w:hAnsi="宋体" w:eastAsia="宋体" w:cs="宋体"/>
          <w:sz w:val="24"/>
          <w:highlight w:val="none"/>
        </w:rPr>
        <w:t>四、发布媒介：中国采购与招标网上发布</w:t>
      </w:r>
    </w:p>
    <w:p>
      <w:pPr>
        <w:spacing w:line="360" w:lineRule="auto"/>
        <w:rPr>
          <w:rFonts w:ascii="宋体" w:hAnsi="宋体" w:eastAsia="宋体" w:cs="宋体"/>
          <w:sz w:val="24"/>
          <w:highlight w:val="none"/>
        </w:rPr>
      </w:pPr>
      <w:r>
        <w:rPr>
          <w:rFonts w:hint="eastAsia" w:ascii="宋体" w:hAnsi="宋体" w:eastAsia="宋体" w:cs="宋体"/>
          <w:sz w:val="24"/>
          <w:highlight w:val="none"/>
        </w:rPr>
        <w:t>五、联系方式</w:t>
      </w:r>
    </w:p>
    <w:p>
      <w:pPr>
        <w:spacing w:line="360" w:lineRule="auto"/>
        <w:rPr>
          <w:rFonts w:ascii="宋体" w:hAnsi="宋体" w:eastAsia="宋体" w:cs="宋体"/>
          <w:sz w:val="24"/>
          <w:highlight w:val="none"/>
        </w:rPr>
      </w:pPr>
      <w:r>
        <w:rPr>
          <w:rFonts w:hint="eastAsia" w:ascii="宋体" w:hAnsi="宋体" w:eastAsia="宋体" w:cs="宋体"/>
          <w:sz w:val="24"/>
          <w:highlight w:val="none"/>
        </w:rPr>
        <w:t>1、采购人：济宁医学院</w:t>
      </w:r>
    </w:p>
    <w:p>
      <w:pPr>
        <w:spacing w:line="360" w:lineRule="auto"/>
        <w:rPr>
          <w:rFonts w:ascii="宋体" w:hAnsi="宋体" w:eastAsia="宋体" w:cs="宋体"/>
          <w:sz w:val="24"/>
          <w:highlight w:val="none"/>
        </w:rPr>
      </w:pPr>
      <w:r>
        <w:rPr>
          <w:rFonts w:hint="eastAsia" w:ascii="宋体" w:hAnsi="宋体" w:eastAsia="宋体" w:cs="宋体"/>
          <w:sz w:val="24"/>
          <w:highlight w:val="none"/>
        </w:rPr>
        <w:t>联 系 人：王主任     联系电话：0537-3616133</w:t>
      </w:r>
    </w:p>
    <w:p>
      <w:pPr>
        <w:spacing w:line="360" w:lineRule="auto"/>
        <w:rPr>
          <w:rFonts w:ascii="宋体" w:hAnsi="宋体" w:eastAsia="宋体" w:cs="宋体"/>
          <w:sz w:val="24"/>
          <w:highlight w:val="none"/>
        </w:rPr>
      </w:pPr>
      <w:r>
        <w:rPr>
          <w:rFonts w:hint="eastAsia" w:ascii="宋体" w:hAnsi="宋体" w:eastAsia="宋体" w:cs="宋体"/>
          <w:sz w:val="24"/>
          <w:highlight w:val="none"/>
        </w:rPr>
        <w:t>2、采购代理机构： 山东衡天咨询有限公司</w:t>
      </w:r>
    </w:p>
    <w:p>
      <w:pPr>
        <w:spacing w:line="360" w:lineRule="auto"/>
        <w:rPr>
          <w:rFonts w:ascii="宋体" w:hAnsi="宋体" w:eastAsia="宋体" w:cs="宋体"/>
          <w:sz w:val="24"/>
          <w:highlight w:val="none"/>
        </w:rPr>
      </w:pPr>
      <w:r>
        <w:rPr>
          <w:rFonts w:hint="eastAsia" w:ascii="宋体" w:hAnsi="宋体" w:eastAsia="宋体" w:cs="宋体"/>
          <w:sz w:val="24"/>
          <w:highlight w:val="none"/>
        </w:rPr>
        <w:t>联系地址：济宁市任城大道翠都国际A座22层</w:t>
      </w:r>
    </w:p>
    <w:p>
      <w:pPr>
        <w:spacing w:line="360" w:lineRule="auto"/>
        <w:rPr>
          <w:rFonts w:ascii="宋体" w:hAnsi="宋体" w:eastAsia="宋体" w:cs="宋体"/>
          <w:sz w:val="24"/>
          <w:highlight w:val="none"/>
        </w:rPr>
      </w:pPr>
      <w:r>
        <w:rPr>
          <w:rFonts w:hint="eastAsia" w:ascii="宋体" w:hAnsi="宋体" w:eastAsia="宋体" w:cs="宋体"/>
          <w:sz w:val="24"/>
          <w:highlight w:val="none"/>
        </w:rPr>
        <w:t xml:space="preserve">联 系 人：梁老师          </w:t>
      </w:r>
    </w:p>
    <w:p>
      <w:pPr>
        <w:spacing w:line="480" w:lineRule="exact"/>
        <w:ind w:right="150"/>
        <w:rPr>
          <w:rFonts w:ascii="宋体" w:hAnsi="宋体" w:cs="宋体"/>
          <w:sz w:val="24"/>
          <w:highlight w:val="none"/>
        </w:rPr>
      </w:pPr>
      <w:r>
        <w:rPr>
          <w:rFonts w:hint="eastAsia" w:ascii="宋体" w:hAnsi="宋体" w:cs="宋体"/>
          <w:sz w:val="24"/>
          <w:highlight w:val="none"/>
        </w:rPr>
        <w:t>联系电话：0537-2489666、18953770013</w:t>
      </w:r>
    </w:p>
    <w:p>
      <w:pPr>
        <w:spacing w:line="360" w:lineRule="auto"/>
        <w:rPr>
          <w:rFonts w:ascii="宋体" w:hAnsi="宋体" w:eastAsia="宋体" w:cs="宋体"/>
          <w:sz w:val="24"/>
          <w:highlight w:val="none"/>
        </w:rPr>
      </w:pPr>
    </w:p>
    <w:p>
      <w:pPr>
        <w:rPr>
          <w:rFonts w:ascii="宋体" w:hAnsi="宋体" w:eastAsia="宋体" w:cs="宋体"/>
          <w:sz w:val="28"/>
          <w:szCs w:val="28"/>
          <w:highlight w:val="none"/>
        </w:rPr>
      </w:pPr>
    </w:p>
    <w:p>
      <w:pPr>
        <w:jc w:val="right"/>
        <w:rPr>
          <w:rFonts w:ascii="宋体" w:hAnsi="宋体" w:eastAsia="宋体" w:cs="宋体"/>
          <w:sz w:val="24"/>
          <w:highlight w:val="none"/>
        </w:rPr>
      </w:pPr>
      <w:r>
        <w:rPr>
          <w:rFonts w:hint="eastAsia" w:ascii="宋体" w:hAnsi="宋体" w:eastAsia="宋体" w:cs="宋体"/>
          <w:sz w:val="24"/>
          <w:highlight w:val="none"/>
        </w:rPr>
        <w:t>2019年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日</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312" w:lineRule="auto"/>
        <w:rPr>
          <w:sz w:val="28"/>
          <w:szCs w:val="28"/>
          <w:highlight w:val="none"/>
        </w:rPr>
      </w:pPr>
      <w:bookmarkStart w:id="15" w:name="_Toc152042303"/>
      <w:bookmarkStart w:id="16" w:name="_Toc247085687"/>
      <w:bookmarkStart w:id="17" w:name="_Toc152045527"/>
      <w:bookmarkStart w:id="18" w:name="_Toc246996173"/>
      <w:bookmarkStart w:id="19" w:name="_Toc246996916"/>
      <w:bookmarkStart w:id="20" w:name="_Toc179632544"/>
      <w:bookmarkStart w:id="21" w:name="_Toc144974495"/>
    </w:p>
    <w:p>
      <w:pPr>
        <w:pStyle w:val="3"/>
        <w:numPr>
          <w:ilvl w:val="0"/>
          <w:numId w:val="1"/>
        </w:numPr>
        <w:spacing w:after="120" w:line="360" w:lineRule="auto"/>
        <w:jc w:val="center"/>
        <w:rPr>
          <w:highlight w:val="none"/>
        </w:rPr>
      </w:pPr>
      <w:bookmarkStart w:id="22" w:name="_Toc247085688"/>
      <w:bookmarkStart w:id="23" w:name="_Toc152045528"/>
      <w:bookmarkStart w:id="24" w:name="_Toc246996917"/>
      <w:bookmarkStart w:id="25" w:name="_Toc5138"/>
      <w:bookmarkStart w:id="26" w:name="_Toc152042304"/>
      <w:bookmarkStart w:id="27" w:name="_Toc179632545"/>
      <w:bookmarkStart w:id="28" w:name="_Toc246996174"/>
      <w:bookmarkStart w:id="29" w:name="_Toc296602419"/>
      <w:bookmarkStart w:id="30" w:name="_Toc144974496"/>
      <w:r>
        <w:rPr>
          <w:rFonts w:hint="eastAsia"/>
          <w:highlight w:val="none"/>
        </w:rPr>
        <w:t>供应商须知前附表</w:t>
      </w:r>
      <w:bookmarkEnd w:id="22"/>
      <w:bookmarkEnd w:id="23"/>
      <w:bookmarkEnd w:id="24"/>
      <w:bookmarkEnd w:id="25"/>
      <w:bookmarkEnd w:id="26"/>
      <w:bookmarkEnd w:id="27"/>
      <w:bookmarkEnd w:id="28"/>
      <w:bookmarkEnd w:id="29"/>
      <w:bookmarkEnd w:id="30"/>
    </w:p>
    <w:tbl>
      <w:tblPr>
        <w:tblStyle w:val="19"/>
        <w:tblW w:w="101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19"/>
        <w:gridCol w:w="2349"/>
        <w:gridCol w:w="6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9" w:hRule="atLeast"/>
          <w:jc w:val="center"/>
        </w:trPr>
        <w:tc>
          <w:tcPr>
            <w:tcW w:w="919" w:type="dxa"/>
            <w:vAlign w:val="center"/>
          </w:tcPr>
          <w:p>
            <w:pPr>
              <w:spacing w:line="400" w:lineRule="exact"/>
              <w:jc w:val="center"/>
              <w:rPr>
                <w:b/>
                <w:sz w:val="24"/>
                <w:highlight w:val="none"/>
              </w:rPr>
            </w:pPr>
            <w:r>
              <w:rPr>
                <w:rFonts w:hint="eastAsia"/>
                <w:b/>
                <w:sz w:val="24"/>
                <w:highlight w:val="none"/>
              </w:rPr>
              <w:t>序号</w:t>
            </w:r>
          </w:p>
        </w:tc>
        <w:tc>
          <w:tcPr>
            <w:tcW w:w="2349" w:type="dxa"/>
            <w:vAlign w:val="center"/>
          </w:tcPr>
          <w:p>
            <w:pPr>
              <w:spacing w:line="400" w:lineRule="exact"/>
              <w:jc w:val="center"/>
              <w:rPr>
                <w:b/>
                <w:sz w:val="24"/>
                <w:highlight w:val="none"/>
              </w:rPr>
            </w:pPr>
            <w:r>
              <w:rPr>
                <w:rFonts w:hint="eastAsia"/>
                <w:b/>
                <w:sz w:val="24"/>
                <w:highlight w:val="none"/>
              </w:rPr>
              <w:t>内  容</w:t>
            </w:r>
          </w:p>
        </w:tc>
        <w:tc>
          <w:tcPr>
            <w:tcW w:w="6874" w:type="dxa"/>
            <w:vAlign w:val="center"/>
          </w:tcPr>
          <w:p>
            <w:pPr>
              <w:spacing w:line="400" w:lineRule="exact"/>
              <w:jc w:val="center"/>
              <w:rPr>
                <w:b/>
                <w:sz w:val="24"/>
                <w:highlight w:val="none"/>
              </w:rPr>
            </w:pPr>
            <w:r>
              <w:rPr>
                <w:rFonts w:hint="eastAsia"/>
                <w:b/>
                <w:sz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72" w:hRule="atLeast"/>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1</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采购人</w:t>
            </w:r>
          </w:p>
        </w:tc>
        <w:tc>
          <w:tcPr>
            <w:tcW w:w="6874" w:type="dxa"/>
            <w:vAlign w:val="center"/>
          </w:tcPr>
          <w:p>
            <w:pPr>
              <w:spacing w:line="400" w:lineRule="exact"/>
              <w:rPr>
                <w:rFonts w:ascii="宋体" w:hAnsi="宋体"/>
                <w:sz w:val="24"/>
                <w:highlight w:val="none"/>
              </w:rPr>
            </w:pPr>
            <w:r>
              <w:rPr>
                <w:rFonts w:hint="eastAsia" w:ascii="宋体" w:hAnsi="宋体"/>
                <w:sz w:val="24"/>
                <w:highlight w:val="none"/>
              </w:rPr>
              <w:t>名  称：济宁医学院</w:t>
            </w:r>
          </w:p>
          <w:p>
            <w:pPr>
              <w:spacing w:line="400" w:lineRule="exact"/>
              <w:rPr>
                <w:rFonts w:ascii="宋体" w:hAnsi="宋体"/>
                <w:sz w:val="24"/>
                <w:highlight w:val="none"/>
              </w:rPr>
            </w:pPr>
            <w:r>
              <w:rPr>
                <w:rFonts w:hint="eastAsia" w:ascii="宋体" w:hAnsi="宋体"/>
                <w:sz w:val="24"/>
                <w:highlight w:val="none"/>
              </w:rPr>
              <w:t>联系人：王主任</w:t>
            </w:r>
          </w:p>
          <w:p>
            <w:pPr>
              <w:spacing w:line="400" w:lineRule="exact"/>
              <w:rPr>
                <w:rFonts w:ascii="宋体" w:hAnsi="宋体"/>
                <w:sz w:val="24"/>
                <w:highlight w:val="none"/>
              </w:rPr>
            </w:pPr>
            <w:r>
              <w:rPr>
                <w:rFonts w:hint="eastAsia" w:ascii="宋体" w:hAnsi="宋体"/>
                <w:sz w:val="24"/>
                <w:highlight w:val="none"/>
              </w:rPr>
              <w:t>电  话：</w:t>
            </w:r>
            <w:r>
              <w:rPr>
                <w:rFonts w:hint="eastAsia" w:ascii="宋体" w:hAnsi="宋体" w:eastAsia="宋体" w:cs="宋体"/>
                <w:sz w:val="24"/>
                <w:highlight w:val="none"/>
              </w:rPr>
              <w:t>0537-3616133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09" w:hRule="atLeast"/>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2</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采购代理机构</w:t>
            </w:r>
          </w:p>
        </w:tc>
        <w:tc>
          <w:tcPr>
            <w:tcW w:w="6874" w:type="dxa"/>
            <w:vAlign w:val="center"/>
          </w:tcPr>
          <w:p>
            <w:pPr>
              <w:widowControl/>
              <w:spacing w:line="420" w:lineRule="atLeast"/>
              <w:rPr>
                <w:rFonts w:ascii="宋体" w:hAnsi="宋体" w:cs="宋体"/>
                <w:kern w:val="0"/>
                <w:sz w:val="24"/>
                <w:highlight w:val="none"/>
              </w:rPr>
            </w:pPr>
            <w:r>
              <w:rPr>
                <w:rFonts w:hint="eastAsia" w:ascii="宋体" w:hAnsi="宋体" w:cs="宋体"/>
                <w:kern w:val="0"/>
                <w:sz w:val="24"/>
                <w:highlight w:val="none"/>
              </w:rPr>
              <w:t>名称：山东衡天咨询有限公司</w:t>
            </w:r>
            <w:r>
              <w:rPr>
                <w:rFonts w:hint="eastAsia" w:ascii="宋体" w:hAnsi="宋体" w:cs="宋体"/>
                <w:kern w:val="0"/>
                <w:sz w:val="24"/>
                <w:highlight w:val="none"/>
              </w:rPr>
              <w:br w:type="textWrapping"/>
            </w:r>
            <w:r>
              <w:rPr>
                <w:rFonts w:hint="eastAsia" w:ascii="宋体" w:hAnsi="宋体" w:cs="宋体"/>
                <w:kern w:val="0"/>
                <w:sz w:val="24"/>
                <w:highlight w:val="none"/>
              </w:rPr>
              <w:t>地址：济宁市任城大道翠都国际A座22楼</w:t>
            </w:r>
          </w:p>
          <w:p>
            <w:pPr>
              <w:widowControl/>
              <w:spacing w:line="420" w:lineRule="atLeast"/>
              <w:rPr>
                <w:rFonts w:ascii="宋体"/>
                <w:kern w:val="0"/>
                <w:sz w:val="24"/>
                <w:highlight w:val="none"/>
              </w:rPr>
            </w:pPr>
            <w:r>
              <w:rPr>
                <w:rFonts w:hint="eastAsia" w:ascii="宋体" w:hAnsi="宋体" w:cs="宋体"/>
                <w:kern w:val="0"/>
                <w:sz w:val="24"/>
                <w:highlight w:val="none"/>
              </w:rPr>
              <w:t>电话：0537-2489666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23" w:hRule="atLeast"/>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3</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项目名称</w:t>
            </w:r>
          </w:p>
        </w:tc>
        <w:tc>
          <w:tcPr>
            <w:tcW w:w="6874" w:type="dxa"/>
            <w:vAlign w:val="center"/>
          </w:tcPr>
          <w:p>
            <w:pPr>
              <w:spacing w:line="400" w:lineRule="exact"/>
              <w:rPr>
                <w:rFonts w:ascii="宋体" w:hAnsi="宋体"/>
                <w:sz w:val="24"/>
                <w:highlight w:val="none"/>
              </w:rPr>
            </w:pPr>
            <w:r>
              <w:rPr>
                <w:rFonts w:hint="eastAsia" w:ascii="宋体" w:hAnsi="宋体" w:eastAsia="宋体" w:cs="宋体"/>
                <w:sz w:val="24"/>
                <w:highlight w:val="none"/>
              </w:rPr>
              <w:t>济宁医学院日照校区生物医药教学科研平台房屋改造装修项目设计(二次)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3" w:hRule="atLeast"/>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4</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采购范围</w:t>
            </w:r>
          </w:p>
        </w:tc>
        <w:tc>
          <w:tcPr>
            <w:tcW w:w="6874" w:type="dxa"/>
            <w:vAlign w:val="center"/>
          </w:tcPr>
          <w:p>
            <w:pPr>
              <w:spacing w:line="400" w:lineRule="exact"/>
              <w:rPr>
                <w:rFonts w:ascii="宋体" w:hAnsi="宋体"/>
                <w:sz w:val="24"/>
                <w:highlight w:val="none"/>
              </w:rPr>
            </w:pPr>
            <w:r>
              <w:rPr>
                <w:rFonts w:hint="eastAsia" w:ascii="宋体" w:hAnsi="宋体" w:eastAsia="宋体" w:cs="宋体"/>
                <w:sz w:val="24"/>
                <w:highlight w:val="none"/>
              </w:rPr>
              <w:t>本项目为济宁医学院日照校区生物医药教学科研平台房屋改造装修项目设计(二次)，本次设计任务主要在济宁医学院日照校区药学与生物实验楼现有土建、水电等条件基础上进行（面积约4500平方米）。区域为A、C区4楼、5楼和B区4楼，设计任务范围含方案设计、初步设计及概算、施工图设计（含建筑、暖通、给排水、电气、总图）、施工现场配合服务、咨询服务等。(具体详见采购内容及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5" w:hRule="atLeast"/>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5</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采购方式</w:t>
            </w:r>
          </w:p>
        </w:tc>
        <w:tc>
          <w:tcPr>
            <w:tcW w:w="6874" w:type="dxa"/>
            <w:vAlign w:val="center"/>
          </w:tcPr>
          <w:p>
            <w:pPr>
              <w:spacing w:line="400" w:lineRule="exact"/>
              <w:rPr>
                <w:rFonts w:ascii="宋体" w:hAnsi="宋体"/>
                <w:sz w:val="24"/>
                <w:highlight w:val="none"/>
              </w:rPr>
            </w:pPr>
            <w:r>
              <w:rPr>
                <w:rFonts w:hint="eastAsia" w:ascii="宋体" w:hAnsi="宋体"/>
                <w:sz w:val="24"/>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9" w:hRule="atLeast"/>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6</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资金来源</w:t>
            </w:r>
          </w:p>
        </w:tc>
        <w:tc>
          <w:tcPr>
            <w:tcW w:w="6874" w:type="dxa"/>
            <w:vAlign w:val="center"/>
          </w:tcPr>
          <w:p>
            <w:pPr>
              <w:spacing w:line="400" w:lineRule="exact"/>
              <w:rPr>
                <w:rFonts w:ascii="宋体" w:hAnsi="宋体"/>
                <w:sz w:val="24"/>
                <w:highlight w:val="none"/>
              </w:rPr>
            </w:pPr>
            <w:r>
              <w:rPr>
                <w:rFonts w:hint="eastAsia" w:ascii="宋体" w:hAnsi="宋体"/>
                <w:sz w:val="24"/>
                <w:highlight w:val="none"/>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7</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采购预算</w:t>
            </w:r>
          </w:p>
        </w:tc>
        <w:tc>
          <w:tcPr>
            <w:tcW w:w="6874" w:type="dxa"/>
            <w:vAlign w:val="center"/>
          </w:tcPr>
          <w:p>
            <w:pPr>
              <w:spacing w:line="400" w:lineRule="exact"/>
              <w:rPr>
                <w:rFonts w:ascii="宋体" w:hAnsi="宋体" w:cs="宋体"/>
                <w:kern w:val="0"/>
                <w:sz w:val="24"/>
                <w:highlight w:val="none"/>
              </w:rPr>
            </w:pPr>
            <w:r>
              <w:rPr>
                <w:rFonts w:hint="eastAsia" w:ascii="宋体" w:hAnsi="宋体" w:cs="宋体"/>
                <w:kern w:val="0"/>
                <w:sz w:val="24"/>
                <w:highlight w:val="none"/>
              </w:rPr>
              <w:t>采购预算：12万元</w:t>
            </w:r>
          </w:p>
          <w:p>
            <w:pPr>
              <w:pStyle w:val="2"/>
              <w:ind w:firstLine="0" w:firstLineChars="0"/>
              <w:rPr>
                <w:highlight w:val="none"/>
              </w:rPr>
            </w:pPr>
            <w:r>
              <w:rPr>
                <w:rFonts w:hint="eastAsia"/>
                <w:highlight w:val="none"/>
              </w:rPr>
              <w:t>超出控制价的投标报价将作无效标处理。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3" w:hRule="atLeast"/>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8</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建设地点</w:t>
            </w:r>
          </w:p>
        </w:tc>
        <w:tc>
          <w:tcPr>
            <w:tcW w:w="6874" w:type="dxa"/>
            <w:vAlign w:val="center"/>
          </w:tcPr>
          <w:p>
            <w:pPr>
              <w:spacing w:line="400" w:lineRule="exact"/>
              <w:rPr>
                <w:rFonts w:ascii="宋体" w:hAnsi="宋体" w:eastAsia="宋体"/>
                <w:sz w:val="24"/>
                <w:highlight w:val="none"/>
              </w:rPr>
            </w:pPr>
            <w:r>
              <w:rPr>
                <w:rFonts w:hint="eastAsia" w:ascii="宋体" w:hAnsi="宋体"/>
                <w:sz w:val="24"/>
                <w:highlight w:val="none"/>
              </w:rPr>
              <w:t>济宁医学院日照校区校内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9</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踏勘现场</w:t>
            </w:r>
          </w:p>
        </w:tc>
        <w:tc>
          <w:tcPr>
            <w:tcW w:w="6874" w:type="dxa"/>
            <w:vAlign w:val="center"/>
          </w:tcPr>
          <w:p>
            <w:pPr>
              <w:spacing w:line="400" w:lineRule="exact"/>
              <w:rPr>
                <w:rFonts w:ascii="宋体" w:hAnsi="宋体"/>
                <w:sz w:val="24"/>
                <w:highlight w:val="none"/>
              </w:rPr>
            </w:pPr>
            <w:r>
              <w:rPr>
                <w:rFonts w:hint="eastAsia" w:ascii="宋体" w:hAnsi="宋体"/>
                <w:sz w:val="24"/>
                <w:highlight w:val="none"/>
              </w:rPr>
              <w:t>不统一组织，请自行前往勘察，风险费用自行负担。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10</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偏离</w:t>
            </w:r>
          </w:p>
        </w:tc>
        <w:tc>
          <w:tcPr>
            <w:tcW w:w="6874" w:type="dxa"/>
            <w:vAlign w:val="center"/>
          </w:tcPr>
          <w:p>
            <w:pPr>
              <w:spacing w:line="400" w:lineRule="exact"/>
              <w:rPr>
                <w:rFonts w:ascii="宋体" w:hAnsi="宋体"/>
                <w:sz w:val="24"/>
                <w:highlight w:val="none"/>
              </w:rPr>
            </w:pPr>
            <w:r>
              <w:rPr>
                <w:rFonts w:hint="eastAsia" w:ascii="宋体" w:hAnsi="宋体"/>
                <w:sz w:val="24"/>
                <w:highlight w:val="none"/>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11</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设计期限</w:t>
            </w:r>
          </w:p>
        </w:tc>
        <w:tc>
          <w:tcPr>
            <w:tcW w:w="6874" w:type="dxa"/>
            <w:vAlign w:val="center"/>
          </w:tcPr>
          <w:p>
            <w:pPr>
              <w:spacing w:line="400" w:lineRule="exact"/>
              <w:rPr>
                <w:rFonts w:ascii="宋体" w:hAnsi="宋体"/>
                <w:sz w:val="24"/>
                <w:highlight w:val="none"/>
              </w:rPr>
            </w:pPr>
            <w:r>
              <w:rPr>
                <w:rFonts w:hint="eastAsia" w:ascii="宋体" w:hAnsi="宋体"/>
                <w:sz w:val="24"/>
                <w:highlight w:val="none"/>
              </w:rPr>
              <w:t>签订合同后</w:t>
            </w:r>
            <w:r>
              <w:rPr>
                <w:rFonts w:hint="eastAsia" w:ascii="宋体" w:hAnsi="宋体"/>
                <w:sz w:val="24"/>
                <w:highlight w:val="none"/>
                <w:u w:val="single"/>
              </w:rPr>
              <w:t xml:space="preserve"> 10</w:t>
            </w:r>
            <w:r>
              <w:rPr>
                <w:rFonts w:hint="eastAsia" w:ascii="宋体" w:hAnsi="宋体"/>
                <w:sz w:val="24"/>
                <w:highlight w:val="none"/>
              </w:rPr>
              <w:t>日历天内完成设计方案，待设计方案经采购人认可后</w:t>
            </w:r>
            <w:r>
              <w:rPr>
                <w:rFonts w:hint="eastAsia" w:ascii="宋体" w:hAnsi="宋体"/>
                <w:sz w:val="24"/>
                <w:highlight w:val="none"/>
                <w:u w:val="single"/>
              </w:rPr>
              <w:t xml:space="preserve"> 20 </w:t>
            </w:r>
            <w:r>
              <w:rPr>
                <w:rFonts w:hint="eastAsia" w:ascii="宋体" w:hAnsi="宋体"/>
                <w:sz w:val="24"/>
                <w:highlight w:val="none"/>
              </w:rPr>
              <w:t>日历天内完成全部施工图纸设计（含概算及控制价）。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47" w:hRule="atLeast"/>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12</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服务要求</w:t>
            </w:r>
          </w:p>
        </w:tc>
        <w:tc>
          <w:tcPr>
            <w:tcW w:w="6874" w:type="dxa"/>
            <w:vAlign w:val="center"/>
          </w:tcPr>
          <w:p>
            <w:pPr>
              <w:spacing w:line="400" w:lineRule="exact"/>
              <w:rPr>
                <w:rFonts w:ascii="宋体" w:hAnsi="宋体"/>
                <w:sz w:val="24"/>
                <w:highlight w:val="none"/>
              </w:rPr>
            </w:pPr>
            <w:r>
              <w:rPr>
                <w:rFonts w:hint="eastAsia" w:ascii="宋体" w:hAnsi="宋体"/>
                <w:sz w:val="24"/>
                <w:highlight w:val="none"/>
              </w:rPr>
              <w:t>施工图纸设计含概算、控制价及工程施工阶段提供相关服务工作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5" w:hRule="atLeast"/>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13</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质量要求</w:t>
            </w:r>
          </w:p>
        </w:tc>
        <w:tc>
          <w:tcPr>
            <w:tcW w:w="6874" w:type="dxa"/>
            <w:vAlign w:val="center"/>
          </w:tcPr>
          <w:p>
            <w:pPr>
              <w:spacing w:line="400" w:lineRule="exact"/>
              <w:rPr>
                <w:rFonts w:ascii="宋体" w:hAnsi="宋体"/>
                <w:sz w:val="24"/>
                <w:highlight w:val="none"/>
              </w:rPr>
            </w:pPr>
            <w:r>
              <w:rPr>
                <w:rFonts w:hint="eastAsia" w:ascii="宋体" w:hAnsi="宋体"/>
                <w:sz w:val="24"/>
                <w:highlight w:val="none"/>
              </w:rPr>
              <w:t>符合项目相关国家行业等标准规范要求，满足实验室各种专业实验室技术规范、标准实验环境条件要求，达到国家现行设计规范要求、项目总体设计要求及施工要求，符合消防标准，并通过学校审查部门的审查。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1" w:hRule="atLeast"/>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14</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付款方式</w:t>
            </w:r>
          </w:p>
        </w:tc>
        <w:tc>
          <w:tcPr>
            <w:tcW w:w="6874" w:type="dxa"/>
            <w:vAlign w:val="center"/>
          </w:tcPr>
          <w:p>
            <w:pPr>
              <w:spacing w:line="400" w:lineRule="exact"/>
              <w:rPr>
                <w:rFonts w:ascii="宋体" w:hAnsi="宋体"/>
                <w:sz w:val="24"/>
                <w:highlight w:val="none"/>
              </w:rPr>
            </w:pPr>
            <w:r>
              <w:rPr>
                <w:rFonts w:hint="eastAsia" w:ascii="宋体" w:hAnsi="宋体"/>
                <w:sz w:val="24"/>
                <w:highlight w:val="none"/>
              </w:rPr>
              <w:t>中标人按照招标人要求完成设计，待本设计项目施工招标结束后，由施工项目中标人向本设计项目中标人支付设计费。（设计项目中标人须确保所设计的方案完全满足招标人要求，如设计方案达不到招标人要求，招标人有权更换设计单位，中标人所付出的成本，招标人不予补偿；设计项目中标人须向施工项目中标人出具真实有效的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15</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供应商资格要求</w:t>
            </w:r>
          </w:p>
        </w:tc>
        <w:tc>
          <w:tcPr>
            <w:tcW w:w="6874" w:type="dxa"/>
            <w:vAlign w:val="center"/>
          </w:tcPr>
          <w:p>
            <w:pPr>
              <w:spacing w:line="400" w:lineRule="exact"/>
              <w:rPr>
                <w:rFonts w:ascii="宋体" w:hAnsi="宋体"/>
                <w:sz w:val="24"/>
                <w:highlight w:val="none"/>
              </w:rPr>
            </w:pPr>
            <w:r>
              <w:rPr>
                <w:rFonts w:hint="eastAsia" w:ascii="宋体" w:hAnsi="宋体"/>
                <w:sz w:val="24"/>
                <w:highlight w:val="none"/>
              </w:rPr>
              <w:t>1、具备独立法人资格；</w:t>
            </w:r>
          </w:p>
          <w:p>
            <w:pPr>
              <w:spacing w:line="400" w:lineRule="exact"/>
              <w:rPr>
                <w:rFonts w:ascii="宋体" w:hAnsi="宋体"/>
                <w:sz w:val="24"/>
                <w:highlight w:val="none"/>
              </w:rPr>
            </w:pPr>
            <w:r>
              <w:rPr>
                <w:rFonts w:hint="eastAsia" w:ascii="宋体" w:hAnsi="宋体"/>
                <w:sz w:val="24"/>
                <w:highlight w:val="none"/>
              </w:rPr>
              <w:t>2、</w:t>
            </w:r>
            <w:r>
              <w:rPr>
                <w:rFonts w:hint="eastAsia" w:ascii="宋体" w:hAnsi="宋体" w:eastAsia="宋体" w:cs="宋体"/>
                <w:b w:val="0"/>
                <w:bCs w:val="0"/>
                <w:sz w:val="24"/>
                <w:highlight w:val="none"/>
              </w:rPr>
              <w:t>具备工程设计建筑行业（建筑工程）丙级及以上资质或建筑装饰装修工程专项设计乙级及以上资质或工程设计综合甲级资质</w:t>
            </w:r>
            <w:r>
              <w:rPr>
                <w:rFonts w:hint="eastAsia" w:ascii="宋体" w:hAnsi="宋体"/>
                <w:b w:val="0"/>
                <w:bCs w:val="0"/>
                <w:sz w:val="24"/>
                <w:highlight w:val="none"/>
              </w:rPr>
              <w:t>，</w:t>
            </w:r>
            <w:r>
              <w:rPr>
                <w:rFonts w:hint="eastAsia" w:ascii="宋体" w:hAnsi="宋体"/>
                <w:sz w:val="24"/>
                <w:highlight w:val="none"/>
              </w:rPr>
              <w:t>在设备、人员和技术等方面具备该项目的服务能力；</w:t>
            </w:r>
          </w:p>
          <w:p>
            <w:pPr>
              <w:spacing w:line="400" w:lineRule="exact"/>
              <w:rPr>
                <w:rFonts w:ascii="宋体" w:hAnsi="宋体"/>
                <w:sz w:val="24"/>
                <w:highlight w:val="none"/>
              </w:rPr>
            </w:pPr>
            <w:r>
              <w:rPr>
                <w:rFonts w:hint="eastAsia" w:ascii="宋体" w:hAnsi="宋体"/>
                <w:sz w:val="24"/>
                <w:highlight w:val="none"/>
              </w:rPr>
              <w:t>3、具备有效的营业执照；</w:t>
            </w:r>
          </w:p>
          <w:p>
            <w:pPr>
              <w:spacing w:line="400" w:lineRule="exact"/>
              <w:rPr>
                <w:rFonts w:ascii="宋体" w:hAnsi="宋体"/>
                <w:sz w:val="24"/>
                <w:highlight w:val="none"/>
              </w:rPr>
            </w:pPr>
            <w:r>
              <w:rPr>
                <w:rFonts w:hint="eastAsia" w:ascii="宋体" w:hAnsi="宋体"/>
                <w:sz w:val="24"/>
                <w:highlight w:val="none"/>
              </w:rPr>
              <w:t>4、未被暂停或取消济宁市范围内招标项目的投标资格；</w:t>
            </w:r>
          </w:p>
          <w:p>
            <w:pPr>
              <w:spacing w:line="400" w:lineRule="exact"/>
              <w:rPr>
                <w:rFonts w:ascii="宋体" w:hAnsi="宋体"/>
                <w:sz w:val="24"/>
                <w:highlight w:val="none"/>
              </w:rPr>
            </w:pPr>
            <w:r>
              <w:rPr>
                <w:rFonts w:hint="eastAsia" w:ascii="宋体" w:hAnsi="宋体"/>
                <w:sz w:val="24"/>
                <w:highlight w:val="none"/>
              </w:rPr>
              <w:t>5、供应商须满足《中华人民共和国政府采购法》第22条规定；</w:t>
            </w:r>
          </w:p>
          <w:p>
            <w:pPr>
              <w:spacing w:line="400" w:lineRule="exact"/>
              <w:rPr>
                <w:rFonts w:ascii="宋体" w:hAnsi="宋体"/>
                <w:sz w:val="24"/>
                <w:highlight w:val="none"/>
              </w:rPr>
            </w:pPr>
            <w:r>
              <w:rPr>
                <w:rFonts w:hint="eastAsia" w:ascii="宋体" w:hAnsi="宋体"/>
                <w:sz w:val="24"/>
                <w:highlight w:val="none"/>
              </w:rPr>
              <w:t>6、本工程不接受联合体投标；</w:t>
            </w:r>
          </w:p>
          <w:p>
            <w:pPr>
              <w:spacing w:line="400" w:lineRule="exact"/>
              <w:rPr>
                <w:rFonts w:ascii="宋体" w:hAnsi="宋体"/>
                <w:sz w:val="24"/>
                <w:highlight w:val="none"/>
              </w:rPr>
            </w:pPr>
            <w:r>
              <w:rPr>
                <w:rFonts w:hint="eastAsia" w:ascii="宋体" w:hAnsi="宋体"/>
                <w:sz w:val="24"/>
                <w:highlight w:val="none"/>
              </w:rPr>
              <w:t>7、资格审查方式：资格后审；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16</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报价有效期</w:t>
            </w:r>
          </w:p>
        </w:tc>
        <w:tc>
          <w:tcPr>
            <w:tcW w:w="6874" w:type="dxa"/>
            <w:vAlign w:val="center"/>
          </w:tcPr>
          <w:p>
            <w:pPr>
              <w:autoSpaceDE w:val="0"/>
              <w:autoSpaceDN w:val="0"/>
              <w:adjustRightInd w:val="0"/>
              <w:spacing w:line="420" w:lineRule="exact"/>
              <w:rPr>
                <w:rFonts w:ascii="宋体" w:hAnsi="宋体" w:cs="宋体"/>
                <w:kern w:val="0"/>
                <w:sz w:val="24"/>
                <w:highlight w:val="none"/>
              </w:rPr>
            </w:pPr>
            <w:r>
              <w:rPr>
                <w:rFonts w:hint="eastAsia" w:ascii="宋体"/>
                <w:kern w:val="0"/>
                <w:sz w:val="24"/>
                <w:highlight w:val="none"/>
              </w:rPr>
              <w:t>90日历天（自递交响应文件截止之日起算）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20" w:hRule="atLeast"/>
          <w:jc w:val="center"/>
        </w:trPr>
        <w:tc>
          <w:tcPr>
            <w:tcW w:w="919" w:type="dxa"/>
            <w:vAlign w:val="center"/>
          </w:tcPr>
          <w:p>
            <w:pPr>
              <w:autoSpaceDE w:val="0"/>
              <w:autoSpaceDN w:val="0"/>
              <w:adjustRightInd w:val="0"/>
              <w:spacing w:line="420" w:lineRule="exact"/>
              <w:jc w:val="center"/>
              <w:rPr>
                <w:rFonts w:ascii="宋体" w:hAnsi="宋体"/>
                <w:sz w:val="24"/>
                <w:highlight w:val="none"/>
              </w:rPr>
            </w:pPr>
            <w:r>
              <w:rPr>
                <w:rFonts w:hint="eastAsia" w:ascii="宋体"/>
                <w:kern w:val="0"/>
                <w:sz w:val="24"/>
                <w:highlight w:val="none"/>
              </w:rPr>
              <w:t>17</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采购人对磋商文件澄清与修改的时间和方式</w:t>
            </w:r>
          </w:p>
        </w:tc>
        <w:tc>
          <w:tcPr>
            <w:tcW w:w="6874" w:type="dxa"/>
            <w:vAlign w:val="center"/>
          </w:tcPr>
          <w:p>
            <w:pPr>
              <w:spacing w:line="400" w:lineRule="exact"/>
              <w:rPr>
                <w:rFonts w:ascii="宋体" w:hAnsi="宋体"/>
                <w:sz w:val="24"/>
                <w:highlight w:val="none"/>
              </w:rPr>
            </w:pPr>
            <w:r>
              <w:rPr>
                <w:rFonts w:hint="eastAsia" w:ascii="宋体" w:hAnsi="宋体"/>
                <w:sz w:val="24"/>
                <w:highlight w:val="none"/>
              </w:rPr>
              <w:t>提交首次响应文件截止之日前，采购人、采购代理机构或者磋商小组可以对已发出的磋商文件进行必要的澄清或者修改，澄清或者修改的内容做为磋商文件的组成部分。澄清或者修改的内容可能影响响应文件编制的，采购人、采购代理机构应当在提交首次响应文件截止时间至少5日前，以书面形式通知所有获取磋商文件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19" w:type="dxa"/>
            <w:vAlign w:val="center"/>
          </w:tcPr>
          <w:p>
            <w:pPr>
              <w:autoSpaceDE w:val="0"/>
              <w:autoSpaceDN w:val="0"/>
              <w:adjustRightInd w:val="0"/>
              <w:spacing w:line="420" w:lineRule="exact"/>
              <w:jc w:val="center"/>
              <w:rPr>
                <w:rFonts w:ascii="宋体" w:hAnsi="宋体"/>
                <w:sz w:val="24"/>
                <w:highlight w:val="none"/>
              </w:rPr>
            </w:pPr>
            <w:r>
              <w:rPr>
                <w:rFonts w:hint="eastAsia" w:ascii="宋体"/>
                <w:kern w:val="0"/>
                <w:sz w:val="24"/>
                <w:highlight w:val="none"/>
              </w:rPr>
              <w:t>18</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提交问题及领取书面澄清的时间</w:t>
            </w:r>
          </w:p>
        </w:tc>
        <w:tc>
          <w:tcPr>
            <w:tcW w:w="6874" w:type="dxa"/>
            <w:vAlign w:val="center"/>
          </w:tcPr>
          <w:p>
            <w:pPr>
              <w:spacing w:line="400" w:lineRule="exact"/>
              <w:rPr>
                <w:rFonts w:ascii="宋体" w:hAnsi="宋体"/>
                <w:sz w:val="24"/>
                <w:highlight w:val="none"/>
              </w:rPr>
            </w:pPr>
            <w:r>
              <w:rPr>
                <w:rFonts w:hint="eastAsia" w:ascii="宋体" w:hAnsi="宋体"/>
                <w:sz w:val="24"/>
                <w:highlight w:val="none"/>
              </w:rPr>
              <w:t>供应商若对竞争性磋商文件有任何疑问，应于领取文件后一日内形成书面文字向采购人及采购代理公司提出。</w:t>
            </w:r>
          </w:p>
          <w:p>
            <w:pPr>
              <w:spacing w:line="400" w:lineRule="exact"/>
              <w:rPr>
                <w:rFonts w:ascii="宋体" w:hAnsi="宋体"/>
                <w:sz w:val="24"/>
                <w:highlight w:val="none"/>
              </w:rPr>
            </w:pPr>
            <w:r>
              <w:rPr>
                <w:rFonts w:hint="eastAsia" w:ascii="宋体" w:hAnsi="宋体"/>
                <w:sz w:val="24"/>
                <w:highlight w:val="none"/>
              </w:rPr>
              <w:t>采购人收到书面文件后应于一日内以书面方式予以澄清或更正，由采购代理公司向所有潜在供应商发送。</w:t>
            </w:r>
          </w:p>
          <w:p>
            <w:pPr>
              <w:spacing w:line="400" w:lineRule="exact"/>
              <w:rPr>
                <w:rFonts w:ascii="宋体" w:hAnsi="宋体"/>
                <w:sz w:val="24"/>
                <w:highlight w:val="none"/>
              </w:rPr>
            </w:pPr>
            <w:r>
              <w:rPr>
                <w:rFonts w:hint="eastAsia" w:ascii="宋体" w:hAnsi="宋体"/>
                <w:sz w:val="24"/>
                <w:highlight w:val="none"/>
              </w:rPr>
              <w:t>注：投标供应商恶意质疑或开标后再对竞争性磋商文件提出疑问或质疑的，采购人及采购代理机构不予接受并不作出答复，情形恶劣的将报政府采购监督管理机构列入不良行为记录名单。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1" w:hRule="atLeast"/>
          <w:jc w:val="center"/>
        </w:trPr>
        <w:tc>
          <w:tcPr>
            <w:tcW w:w="919" w:type="dxa"/>
            <w:vAlign w:val="center"/>
          </w:tcPr>
          <w:p>
            <w:pPr>
              <w:spacing w:line="400" w:lineRule="exact"/>
              <w:jc w:val="center"/>
              <w:rPr>
                <w:rFonts w:ascii="宋体"/>
                <w:kern w:val="0"/>
                <w:sz w:val="24"/>
                <w:highlight w:val="none"/>
              </w:rPr>
            </w:pPr>
            <w:r>
              <w:rPr>
                <w:rFonts w:hint="eastAsia" w:ascii="宋体" w:hAnsi="宋体"/>
                <w:sz w:val="24"/>
                <w:highlight w:val="none"/>
              </w:rPr>
              <w:t>19</w:t>
            </w:r>
          </w:p>
        </w:tc>
        <w:tc>
          <w:tcPr>
            <w:tcW w:w="2349" w:type="dxa"/>
            <w:vAlign w:val="center"/>
          </w:tcPr>
          <w:p>
            <w:pPr>
              <w:autoSpaceDE w:val="0"/>
              <w:autoSpaceDN w:val="0"/>
              <w:adjustRightInd w:val="0"/>
              <w:spacing w:line="420" w:lineRule="exact"/>
              <w:jc w:val="center"/>
              <w:rPr>
                <w:rFonts w:ascii="宋体" w:hAnsi="宋体" w:cs="宋体"/>
                <w:kern w:val="0"/>
                <w:sz w:val="24"/>
                <w:highlight w:val="none"/>
              </w:rPr>
            </w:pPr>
            <w:r>
              <w:rPr>
                <w:rFonts w:hint="eastAsia" w:ascii="宋体" w:hAnsi="宋体" w:cs="宋体"/>
                <w:kern w:val="0"/>
                <w:sz w:val="24"/>
                <w:highlight w:val="none"/>
              </w:rPr>
              <w:t>响应文件份数</w:t>
            </w:r>
          </w:p>
        </w:tc>
        <w:tc>
          <w:tcPr>
            <w:tcW w:w="6874" w:type="dxa"/>
          </w:tcPr>
          <w:p>
            <w:pPr>
              <w:spacing w:line="380" w:lineRule="exact"/>
              <w:rPr>
                <w:rFonts w:ascii="宋体" w:hAnsi="宋体"/>
                <w:kern w:val="0"/>
                <w:sz w:val="24"/>
                <w:highlight w:val="none"/>
              </w:rPr>
            </w:pPr>
            <w:r>
              <w:rPr>
                <w:rFonts w:hint="eastAsia" w:ascii="宋体" w:hAnsi="宋体"/>
                <w:kern w:val="0"/>
                <w:sz w:val="24"/>
                <w:highlight w:val="none"/>
              </w:rPr>
              <w:t>1、响应文件5份（正本一份，副本四份），</w:t>
            </w:r>
          </w:p>
          <w:p>
            <w:pPr>
              <w:spacing w:line="380" w:lineRule="exact"/>
              <w:rPr>
                <w:rFonts w:ascii="宋体"/>
                <w:kern w:val="0"/>
                <w:sz w:val="24"/>
                <w:highlight w:val="none"/>
              </w:rPr>
            </w:pPr>
            <w:r>
              <w:rPr>
                <w:rFonts w:hint="eastAsia" w:ascii="宋体" w:hAnsi="宋体"/>
                <w:kern w:val="0"/>
                <w:sz w:val="24"/>
                <w:highlight w:val="none"/>
              </w:rPr>
              <w:t>2、报价一览表一式两份，单独密封，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1" w:hRule="atLeast"/>
          <w:jc w:val="center"/>
        </w:trPr>
        <w:tc>
          <w:tcPr>
            <w:tcW w:w="919" w:type="dxa"/>
            <w:vAlign w:val="center"/>
          </w:tcPr>
          <w:p>
            <w:pPr>
              <w:autoSpaceDE w:val="0"/>
              <w:autoSpaceDN w:val="0"/>
              <w:adjustRightInd w:val="0"/>
              <w:spacing w:line="420" w:lineRule="exact"/>
              <w:jc w:val="center"/>
              <w:rPr>
                <w:rFonts w:ascii="宋体"/>
                <w:kern w:val="0"/>
                <w:sz w:val="24"/>
                <w:highlight w:val="none"/>
              </w:rPr>
            </w:pPr>
            <w:r>
              <w:rPr>
                <w:rFonts w:hint="eastAsia" w:ascii="宋体"/>
                <w:kern w:val="0"/>
                <w:sz w:val="24"/>
                <w:highlight w:val="none"/>
              </w:rPr>
              <w:t>20</w:t>
            </w:r>
          </w:p>
        </w:tc>
        <w:tc>
          <w:tcPr>
            <w:tcW w:w="2349" w:type="dxa"/>
            <w:vAlign w:val="center"/>
          </w:tcPr>
          <w:p>
            <w:pPr>
              <w:autoSpaceDE w:val="0"/>
              <w:autoSpaceDN w:val="0"/>
              <w:adjustRightInd w:val="0"/>
              <w:spacing w:line="420" w:lineRule="exact"/>
              <w:jc w:val="center"/>
              <w:rPr>
                <w:rFonts w:ascii="宋体" w:hAnsi="宋体" w:cs="宋体"/>
                <w:kern w:val="0"/>
                <w:sz w:val="24"/>
                <w:highlight w:val="none"/>
              </w:rPr>
            </w:pPr>
            <w:r>
              <w:rPr>
                <w:rFonts w:hint="eastAsia" w:ascii="宋体"/>
                <w:kern w:val="0"/>
                <w:sz w:val="24"/>
                <w:highlight w:val="none"/>
              </w:rPr>
              <w:t>装订及密封要求</w:t>
            </w:r>
          </w:p>
        </w:tc>
        <w:tc>
          <w:tcPr>
            <w:tcW w:w="6874" w:type="dxa"/>
          </w:tcPr>
          <w:p>
            <w:pPr>
              <w:spacing w:line="380" w:lineRule="exact"/>
              <w:rPr>
                <w:rFonts w:ascii="宋体" w:hAnsi="宋体"/>
                <w:kern w:val="0"/>
                <w:sz w:val="24"/>
                <w:highlight w:val="none"/>
              </w:rPr>
            </w:pPr>
            <w:r>
              <w:rPr>
                <w:rFonts w:hint="eastAsia" w:ascii="宋体" w:hAnsi="宋体"/>
                <w:kern w:val="0"/>
                <w:sz w:val="24"/>
                <w:highlight w:val="none"/>
              </w:rPr>
              <w:t>1、装订要求：胶装装订，不得采用散页装订；</w:t>
            </w:r>
          </w:p>
          <w:p>
            <w:pPr>
              <w:spacing w:line="380" w:lineRule="exact"/>
              <w:rPr>
                <w:rFonts w:ascii="宋体" w:hAnsi="宋体"/>
                <w:kern w:val="0"/>
                <w:sz w:val="24"/>
                <w:highlight w:val="none"/>
              </w:rPr>
            </w:pPr>
            <w:r>
              <w:rPr>
                <w:rFonts w:hint="eastAsia" w:ascii="宋体" w:hAnsi="宋体"/>
                <w:kern w:val="0"/>
                <w:sz w:val="24"/>
                <w:highlight w:val="none"/>
              </w:rPr>
              <w:t>2、密封要求：应将响应文件密封，并在响应文件上清楚标明“正本”或“副本”。</w:t>
            </w:r>
          </w:p>
          <w:p>
            <w:pPr>
              <w:widowControl/>
              <w:autoSpaceDN w:val="0"/>
              <w:spacing w:line="420" w:lineRule="exact"/>
              <w:rPr>
                <w:rFonts w:ascii="宋体"/>
                <w:kern w:val="0"/>
                <w:sz w:val="24"/>
                <w:highlight w:val="none"/>
              </w:rPr>
            </w:pPr>
            <w:r>
              <w:rPr>
                <w:rFonts w:hint="eastAsia" w:ascii="宋体" w:hAnsi="宋体"/>
                <w:kern w:val="0"/>
                <w:sz w:val="24"/>
                <w:highlight w:val="none"/>
              </w:rPr>
              <w:t>注：响应文件未胶装、未密封的，其响应文件作无效投标处理。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19" w:type="dxa"/>
            <w:vAlign w:val="center"/>
          </w:tcPr>
          <w:p>
            <w:pPr>
              <w:autoSpaceDE w:val="0"/>
              <w:autoSpaceDN w:val="0"/>
              <w:adjustRightInd w:val="0"/>
              <w:spacing w:line="420" w:lineRule="exact"/>
              <w:jc w:val="center"/>
              <w:rPr>
                <w:rFonts w:ascii="宋体" w:hAnsi="宋体"/>
                <w:sz w:val="24"/>
                <w:highlight w:val="none"/>
              </w:rPr>
            </w:pPr>
            <w:r>
              <w:rPr>
                <w:rFonts w:hint="eastAsia" w:ascii="宋体"/>
                <w:kern w:val="0"/>
                <w:sz w:val="24"/>
                <w:highlight w:val="none"/>
              </w:rPr>
              <w:t>21</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构成磋商文件的其他材料</w:t>
            </w:r>
          </w:p>
        </w:tc>
        <w:tc>
          <w:tcPr>
            <w:tcW w:w="6874" w:type="dxa"/>
            <w:vAlign w:val="center"/>
          </w:tcPr>
          <w:p>
            <w:pPr>
              <w:spacing w:line="400" w:lineRule="exact"/>
              <w:rPr>
                <w:rFonts w:ascii="宋体" w:hAnsi="宋体"/>
                <w:sz w:val="24"/>
                <w:highlight w:val="none"/>
              </w:rPr>
            </w:pPr>
            <w:r>
              <w:rPr>
                <w:rFonts w:hint="eastAsia" w:ascii="宋体" w:hAnsi="宋体"/>
                <w:sz w:val="24"/>
                <w:highlight w:val="none"/>
              </w:rPr>
              <w:t>项目标准和要求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19" w:type="dxa"/>
            <w:vAlign w:val="center"/>
          </w:tcPr>
          <w:p>
            <w:pPr>
              <w:autoSpaceDE w:val="0"/>
              <w:autoSpaceDN w:val="0"/>
              <w:adjustRightInd w:val="0"/>
              <w:spacing w:line="420" w:lineRule="exact"/>
              <w:jc w:val="center"/>
              <w:rPr>
                <w:rFonts w:ascii="宋体"/>
                <w:kern w:val="0"/>
                <w:sz w:val="24"/>
                <w:highlight w:val="none"/>
              </w:rPr>
            </w:pPr>
            <w:r>
              <w:rPr>
                <w:rFonts w:hint="eastAsia" w:ascii="宋体"/>
                <w:kern w:val="0"/>
                <w:sz w:val="24"/>
                <w:highlight w:val="none"/>
              </w:rPr>
              <w:t>22</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开标时间</w:t>
            </w:r>
          </w:p>
        </w:tc>
        <w:tc>
          <w:tcPr>
            <w:tcW w:w="6874" w:type="dxa"/>
            <w:vAlign w:val="center"/>
          </w:tcPr>
          <w:p>
            <w:pPr>
              <w:spacing w:line="4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919" w:type="dxa"/>
            <w:vAlign w:val="center"/>
          </w:tcPr>
          <w:p>
            <w:pPr>
              <w:autoSpaceDE w:val="0"/>
              <w:autoSpaceDN w:val="0"/>
              <w:adjustRightInd w:val="0"/>
              <w:spacing w:line="420" w:lineRule="exact"/>
              <w:jc w:val="center"/>
              <w:rPr>
                <w:rFonts w:ascii="宋体"/>
                <w:kern w:val="0"/>
                <w:sz w:val="24"/>
                <w:highlight w:val="none"/>
              </w:rPr>
            </w:pPr>
            <w:r>
              <w:rPr>
                <w:rFonts w:hint="eastAsia" w:ascii="宋体"/>
                <w:kern w:val="0"/>
                <w:sz w:val="24"/>
                <w:highlight w:val="none"/>
              </w:rPr>
              <w:t>22</w:t>
            </w:r>
          </w:p>
        </w:tc>
        <w:tc>
          <w:tcPr>
            <w:tcW w:w="2349" w:type="dxa"/>
            <w:vAlign w:val="center"/>
          </w:tcPr>
          <w:p>
            <w:pPr>
              <w:spacing w:line="500" w:lineRule="exact"/>
              <w:jc w:val="center"/>
              <w:rPr>
                <w:rFonts w:ascii="宋体" w:hAnsi="宋体" w:cs="宋体"/>
                <w:kern w:val="0"/>
                <w:sz w:val="24"/>
                <w:highlight w:val="none"/>
              </w:rPr>
            </w:pPr>
            <w:r>
              <w:rPr>
                <w:rFonts w:hint="eastAsia" w:ascii="宋体" w:hAnsi="宋体"/>
                <w:sz w:val="24"/>
                <w:highlight w:val="none"/>
              </w:rPr>
              <w:t>递交纸质响应文件时间及地点</w:t>
            </w:r>
          </w:p>
        </w:tc>
        <w:tc>
          <w:tcPr>
            <w:tcW w:w="6874" w:type="dxa"/>
            <w:vAlign w:val="center"/>
          </w:tcPr>
          <w:p>
            <w:pPr>
              <w:spacing w:line="500" w:lineRule="exact"/>
              <w:rPr>
                <w:rFonts w:ascii="宋体" w:hAnsi="宋体"/>
                <w:sz w:val="24"/>
                <w:highlight w:val="none"/>
              </w:rPr>
            </w:pPr>
            <w:r>
              <w:rPr>
                <w:rFonts w:hint="eastAsia" w:ascii="宋体" w:hAnsi="宋体"/>
                <w:sz w:val="24"/>
                <w:highlight w:val="none"/>
              </w:rPr>
              <w:t>时间：</w:t>
            </w:r>
            <w:r>
              <w:rPr>
                <w:rFonts w:hint="eastAsia" w:ascii="宋体" w:hAnsi="宋体" w:cs="宋体"/>
                <w:kern w:val="0"/>
                <w:sz w:val="24"/>
                <w:highlight w:val="none"/>
              </w:rPr>
              <w:t>2019年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31</w:t>
            </w:r>
            <w:r>
              <w:rPr>
                <w:rFonts w:hint="eastAsia" w:ascii="宋体" w:hAnsi="宋体"/>
                <w:sz w:val="24"/>
                <w:highlight w:val="none"/>
              </w:rPr>
              <w:t>日</w:t>
            </w:r>
            <w:r>
              <w:rPr>
                <w:rFonts w:hint="eastAsia" w:ascii="宋体" w:hAnsi="宋体"/>
                <w:sz w:val="24"/>
                <w:highlight w:val="none"/>
                <w:lang w:val="en-US" w:eastAsia="zh-CN"/>
              </w:rPr>
              <w:t>14</w:t>
            </w:r>
            <w:r>
              <w:rPr>
                <w:rFonts w:hint="eastAsia" w:ascii="宋体" w:hAnsi="宋体"/>
                <w:sz w:val="24"/>
                <w:highlight w:val="none"/>
              </w:rPr>
              <w:t>时</w:t>
            </w:r>
            <w:r>
              <w:rPr>
                <w:rFonts w:hint="eastAsia" w:ascii="宋体" w:hAnsi="宋体"/>
                <w:sz w:val="24"/>
                <w:highlight w:val="none"/>
                <w:lang w:val="en-US" w:eastAsia="zh-CN"/>
              </w:rPr>
              <w:t>3</w:t>
            </w:r>
            <w:r>
              <w:rPr>
                <w:rFonts w:hint="eastAsia" w:ascii="宋体" w:hAnsi="宋体"/>
                <w:sz w:val="24"/>
                <w:highlight w:val="none"/>
              </w:rPr>
              <w:t>0分前。</w:t>
            </w:r>
          </w:p>
          <w:p>
            <w:pPr>
              <w:spacing w:line="500" w:lineRule="exact"/>
              <w:rPr>
                <w:rFonts w:cs="宋体"/>
                <w:b/>
                <w:sz w:val="24"/>
                <w:highlight w:val="none"/>
              </w:rPr>
            </w:pPr>
            <w:r>
              <w:rPr>
                <w:rFonts w:hint="eastAsia" w:ascii="宋体" w:hAnsi="宋体"/>
                <w:sz w:val="24"/>
                <w:highlight w:val="none"/>
              </w:rPr>
              <w:t>地点：山东衡天咨询有限公司会议室</w:t>
            </w:r>
            <w:r>
              <w:rPr>
                <w:rFonts w:ascii="宋体" w:hAnsi="宋体"/>
                <w:sz w:val="24"/>
                <w:highlight w:val="none"/>
              </w:rPr>
              <w:t>（</w:t>
            </w:r>
            <w:r>
              <w:rPr>
                <w:rFonts w:hint="eastAsia" w:ascii="宋体" w:hAnsi="宋体"/>
                <w:sz w:val="24"/>
                <w:highlight w:val="none"/>
              </w:rPr>
              <w:t>济宁市任城大道翠都国际A座22楼</w:t>
            </w:r>
            <w:r>
              <w:rPr>
                <w:rFonts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19" w:type="dxa"/>
            <w:vAlign w:val="center"/>
          </w:tcPr>
          <w:p>
            <w:pPr>
              <w:autoSpaceDE w:val="0"/>
              <w:autoSpaceDN w:val="0"/>
              <w:adjustRightInd w:val="0"/>
              <w:spacing w:line="420" w:lineRule="exact"/>
              <w:jc w:val="center"/>
              <w:rPr>
                <w:rFonts w:ascii="宋体" w:hAnsi="宋体"/>
                <w:sz w:val="24"/>
                <w:highlight w:val="none"/>
              </w:rPr>
            </w:pPr>
            <w:r>
              <w:rPr>
                <w:rFonts w:hint="eastAsia" w:ascii="宋体"/>
                <w:kern w:val="0"/>
                <w:sz w:val="24"/>
                <w:highlight w:val="none"/>
              </w:rPr>
              <w:t>23</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磋商保证金缴纳</w:t>
            </w:r>
          </w:p>
        </w:tc>
        <w:tc>
          <w:tcPr>
            <w:tcW w:w="6874" w:type="dxa"/>
            <w:vAlign w:val="center"/>
          </w:tcPr>
          <w:p>
            <w:pPr>
              <w:spacing w:line="400" w:lineRule="exact"/>
              <w:rPr>
                <w:rFonts w:ascii="宋体" w:hAnsi="宋体"/>
                <w:sz w:val="24"/>
                <w:highlight w:val="none"/>
              </w:rPr>
            </w:pPr>
            <w:r>
              <w:rPr>
                <w:rFonts w:hint="eastAsia"/>
                <w:sz w:val="24"/>
                <w:highlight w:val="none"/>
              </w:rPr>
              <w:t xml:space="preserve">  </w:t>
            </w:r>
            <w:r>
              <w:rPr>
                <w:rFonts w:hint="eastAsia" w:ascii="宋体" w:hAnsi="宋体"/>
                <w:sz w:val="24"/>
                <w:highlight w:val="none"/>
              </w:rPr>
              <w:t>投标保证金的金额：2400元整。</w:t>
            </w:r>
          </w:p>
          <w:p>
            <w:pPr>
              <w:spacing w:line="400" w:lineRule="exact"/>
              <w:rPr>
                <w:rFonts w:ascii="宋体" w:hAnsi="宋体"/>
                <w:sz w:val="24"/>
                <w:highlight w:val="none"/>
              </w:rPr>
            </w:pPr>
            <w:r>
              <w:rPr>
                <w:rFonts w:hint="eastAsia" w:ascii="宋体" w:hAnsi="宋体"/>
                <w:sz w:val="24"/>
                <w:highlight w:val="none"/>
              </w:rPr>
              <w:t>交纳投标保证金的形式：供应商必须采取现场提交现金的方式缴纳。</w:t>
            </w:r>
          </w:p>
          <w:p>
            <w:pPr>
              <w:spacing w:line="400" w:lineRule="exact"/>
              <w:rPr>
                <w:sz w:val="24"/>
                <w:highlight w:val="none"/>
              </w:rPr>
            </w:pPr>
            <w:r>
              <w:rPr>
                <w:rFonts w:hint="eastAsia" w:ascii="宋体" w:hAnsi="宋体"/>
                <w:sz w:val="24"/>
                <w:highlight w:val="none"/>
              </w:rPr>
              <w:t>注：供应商必须在2019年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31</w:t>
            </w:r>
            <w:r>
              <w:rPr>
                <w:rFonts w:hint="eastAsia" w:ascii="宋体" w:hAnsi="宋体"/>
                <w:sz w:val="24"/>
                <w:highlight w:val="none"/>
              </w:rPr>
              <w:t>日</w:t>
            </w:r>
            <w:r>
              <w:rPr>
                <w:rFonts w:hint="eastAsia" w:ascii="宋体" w:hAnsi="宋体"/>
                <w:sz w:val="24"/>
                <w:highlight w:val="none"/>
                <w:lang w:val="en-US" w:eastAsia="zh-CN"/>
              </w:rPr>
              <w:t>14</w:t>
            </w:r>
            <w:r>
              <w:rPr>
                <w:rFonts w:hint="eastAsia" w:ascii="宋体" w:hAnsi="宋体"/>
                <w:sz w:val="24"/>
                <w:highlight w:val="none"/>
              </w:rPr>
              <w:t>时</w:t>
            </w:r>
            <w:r>
              <w:rPr>
                <w:rFonts w:hint="eastAsia" w:ascii="宋体" w:hAnsi="宋体"/>
                <w:sz w:val="24"/>
                <w:highlight w:val="none"/>
                <w:lang w:val="en-US" w:eastAsia="zh-CN"/>
              </w:rPr>
              <w:t>3</w:t>
            </w:r>
            <w:r>
              <w:rPr>
                <w:rFonts w:hint="eastAsia" w:ascii="宋体" w:hAnsi="宋体"/>
                <w:sz w:val="24"/>
                <w:highlight w:val="none"/>
              </w:rPr>
              <w:t>0分前提交磋商文件规定的投标保证金，投标保证金作为其响应文件的一部分，否则其投标将被拒绝。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1" w:hRule="atLeast"/>
          <w:jc w:val="center"/>
        </w:trPr>
        <w:tc>
          <w:tcPr>
            <w:tcW w:w="919" w:type="dxa"/>
            <w:vAlign w:val="center"/>
          </w:tcPr>
          <w:p>
            <w:pPr>
              <w:autoSpaceDE w:val="0"/>
              <w:autoSpaceDN w:val="0"/>
              <w:adjustRightInd w:val="0"/>
              <w:spacing w:line="420" w:lineRule="exact"/>
              <w:jc w:val="center"/>
              <w:rPr>
                <w:rFonts w:ascii="宋体"/>
                <w:kern w:val="0"/>
                <w:sz w:val="24"/>
                <w:highlight w:val="none"/>
              </w:rPr>
            </w:pPr>
            <w:r>
              <w:rPr>
                <w:rFonts w:hint="eastAsia" w:ascii="宋体"/>
                <w:kern w:val="0"/>
                <w:sz w:val="24"/>
                <w:highlight w:val="none"/>
              </w:rPr>
              <w:t>24</w:t>
            </w:r>
          </w:p>
        </w:tc>
        <w:tc>
          <w:tcPr>
            <w:tcW w:w="2349" w:type="dxa"/>
            <w:vAlign w:val="center"/>
          </w:tcPr>
          <w:p>
            <w:pPr>
              <w:autoSpaceDE w:val="0"/>
              <w:autoSpaceDN w:val="0"/>
              <w:adjustRightInd w:val="0"/>
              <w:spacing w:line="420" w:lineRule="exact"/>
              <w:jc w:val="center"/>
              <w:rPr>
                <w:rFonts w:ascii="宋体" w:hAnsi="宋体" w:cs="宋体"/>
                <w:kern w:val="0"/>
                <w:sz w:val="24"/>
                <w:highlight w:val="none"/>
              </w:rPr>
            </w:pPr>
            <w:r>
              <w:rPr>
                <w:rFonts w:hint="eastAsia" w:ascii="宋体" w:hAnsi="宋体" w:cs="宋体"/>
                <w:kern w:val="0"/>
                <w:sz w:val="24"/>
                <w:highlight w:val="none"/>
              </w:rPr>
              <w:t>是否允许递交备选投标方案</w:t>
            </w:r>
          </w:p>
        </w:tc>
        <w:tc>
          <w:tcPr>
            <w:tcW w:w="6874" w:type="dxa"/>
            <w:vAlign w:val="center"/>
          </w:tcPr>
          <w:p>
            <w:pPr>
              <w:autoSpaceDE w:val="0"/>
              <w:autoSpaceDN w:val="0"/>
              <w:adjustRightInd w:val="0"/>
              <w:spacing w:line="420" w:lineRule="exact"/>
              <w:rPr>
                <w:rFonts w:ascii="宋体"/>
                <w:kern w:val="0"/>
                <w:sz w:val="24"/>
                <w:highlight w:val="none"/>
              </w:rPr>
            </w:pPr>
            <w:r>
              <w:rPr>
                <w:rFonts w:hint="eastAsia" w:ascii="宋体"/>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1" w:hRule="atLeast"/>
          <w:jc w:val="center"/>
        </w:trPr>
        <w:tc>
          <w:tcPr>
            <w:tcW w:w="919" w:type="dxa"/>
            <w:vAlign w:val="center"/>
          </w:tcPr>
          <w:p>
            <w:pPr>
              <w:spacing w:line="400" w:lineRule="exact"/>
              <w:jc w:val="center"/>
              <w:rPr>
                <w:rFonts w:ascii="宋体"/>
                <w:kern w:val="0"/>
                <w:sz w:val="24"/>
                <w:highlight w:val="none"/>
              </w:rPr>
            </w:pPr>
            <w:r>
              <w:rPr>
                <w:rFonts w:hint="eastAsia" w:ascii="宋体" w:hAnsi="宋体"/>
                <w:sz w:val="24"/>
                <w:highlight w:val="none"/>
              </w:rPr>
              <w:t>25</w:t>
            </w:r>
          </w:p>
        </w:tc>
        <w:tc>
          <w:tcPr>
            <w:tcW w:w="2349" w:type="dxa"/>
            <w:vAlign w:val="center"/>
          </w:tcPr>
          <w:p>
            <w:pPr>
              <w:spacing w:line="420" w:lineRule="exact"/>
              <w:jc w:val="center"/>
              <w:rPr>
                <w:rFonts w:ascii="宋体" w:hAnsi="宋体"/>
                <w:sz w:val="24"/>
                <w:highlight w:val="none"/>
              </w:rPr>
            </w:pPr>
            <w:r>
              <w:rPr>
                <w:rFonts w:hint="eastAsia" w:ascii="宋体" w:hAnsi="宋体"/>
                <w:sz w:val="24"/>
                <w:highlight w:val="none"/>
              </w:rPr>
              <w:t>是否退还响应文件</w:t>
            </w:r>
          </w:p>
        </w:tc>
        <w:tc>
          <w:tcPr>
            <w:tcW w:w="6874" w:type="dxa"/>
            <w:vAlign w:val="center"/>
          </w:tcPr>
          <w:p>
            <w:pPr>
              <w:spacing w:line="420" w:lineRule="exact"/>
              <w:rPr>
                <w:rFonts w:ascii="宋体" w:hAnsi="宋体"/>
                <w:sz w:val="24"/>
                <w:highlight w:val="none"/>
              </w:rPr>
            </w:pPr>
            <w:r>
              <w:rPr>
                <w:rFonts w:ascii="宋体" w:hAnsi="宋体"/>
                <w:b/>
                <w:sz w:val="24"/>
                <w:highlight w:val="none"/>
              </w:rPr>
              <w:fldChar w:fldCharType="begin"/>
            </w:r>
            <w:r>
              <w:rPr>
                <w:rFonts w:ascii="宋体" w:hAnsi="宋体"/>
                <w:b/>
                <w:sz w:val="24"/>
                <w:highlight w:val="none"/>
              </w:rPr>
              <w:instrText xml:space="preserve"> </w:instrText>
            </w:r>
            <w:r>
              <w:rPr>
                <w:rFonts w:hint="eastAsia" w:ascii="宋体" w:hAnsi="宋体"/>
                <w:b/>
                <w:sz w:val="24"/>
                <w:highlight w:val="none"/>
              </w:rPr>
              <w:instrText xml:space="preserve">eq \o\ac(</w:instrText>
            </w:r>
            <w:r>
              <w:rPr>
                <w:rFonts w:hint="eastAsia" w:ascii="宋体" w:hAnsi="宋体"/>
                <w:b/>
                <w:position w:val="-4"/>
                <w:sz w:val="36"/>
                <w:highlight w:val="none"/>
              </w:rPr>
              <w:instrText xml:space="preserve">□</w:instrText>
            </w:r>
            <w:r>
              <w:rPr>
                <w:rFonts w:hint="eastAsia" w:ascii="宋体" w:hAnsi="宋体"/>
                <w:b/>
                <w:sz w:val="24"/>
                <w:highlight w:val="none"/>
              </w:rPr>
              <w:instrText xml:space="preserve">,√)</w:instrText>
            </w:r>
            <w:r>
              <w:rPr>
                <w:rFonts w:ascii="宋体" w:hAnsi="宋体"/>
                <w:b/>
                <w:sz w:val="24"/>
                <w:highlight w:val="none"/>
              </w:rPr>
              <w:fldChar w:fldCharType="end"/>
            </w:r>
            <w:r>
              <w:rPr>
                <w:rFonts w:hint="eastAsia" w:ascii="宋体" w:hAnsi="宋体"/>
                <w:sz w:val="24"/>
                <w:highlight w:val="none"/>
              </w:rPr>
              <w:t xml:space="preserve"> 否  □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1" w:hRule="atLeast"/>
          <w:jc w:val="center"/>
        </w:trPr>
        <w:tc>
          <w:tcPr>
            <w:tcW w:w="919" w:type="dxa"/>
            <w:vAlign w:val="center"/>
          </w:tcPr>
          <w:p>
            <w:pPr>
              <w:autoSpaceDE w:val="0"/>
              <w:autoSpaceDN w:val="0"/>
              <w:adjustRightInd w:val="0"/>
              <w:spacing w:line="420" w:lineRule="exact"/>
              <w:jc w:val="center"/>
              <w:rPr>
                <w:rFonts w:ascii="宋体" w:hAnsi="宋体"/>
                <w:sz w:val="24"/>
                <w:highlight w:val="none"/>
              </w:rPr>
            </w:pPr>
            <w:r>
              <w:rPr>
                <w:rFonts w:hint="eastAsia" w:ascii="宋体"/>
                <w:kern w:val="0"/>
                <w:sz w:val="24"/>
                <w:highlight w:val="none"/>
              </w:rPr>
              <w:t>26</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资格审查及递交响应文件时需携带的证件</w:t>
            </w:r>
          </w:p>
        </w:tc>
        <w:tc>
          <w:tcPr>
            <w:tcW w:w="6874" w:type="dxa"/>
            <w:vAlign w:val="center"/>
          </w:tcPr>
          <w:p>
            <w:pPr>
              <w:spacing w:line="400" w:lineRule="exact"/>
              <w:rPr>
                <w:rFonts w:ascii="宋体" w:hAnsi="宋体"/>
                <w:bCs/>
                <w:sz w:val="24"/>
                <w:highlight w:val="none"/>
              </w:rPr>
            </w:pPr>
            <w:r>
              <w:rPr>
                <w:rFonts w:hint="eastAsia" w:ascii="宋体" w:hAnsi="宋体"/>
                <w:bCs/>
                <w:sz w:val="24"/>
                <w:highlight w:val="none"/>
              </w:rPr>
              <w:t>一、本项目为资格后审，开标时供应商应携带以下证书资料原件参加开标会：</w:t>
            </w:r>
          </w:p>
          <w:p>
            <w:pPr>
              <w:spacing w:line="400" w:lineRule="exact"/>
              <w:rPr>
                <w:rFonts w:ascii="宋体" w:hAnsi="宋体"/>
                <w:bCs/>
                <w:sz w:val="24"/>
                <w:highlight w:val="none"/>
              </w:rPr>
            </w:pPr>
            <w:r>
              <w:rPr>
                <w:rFonts w:hint="eastAsia" w:ascii="宋体" w:hAnsi="宋体"/>
                <w:bCs/>
                <w:sz w:val="24"/>
                <w:highlight w:val="none"/>
              </w:rPr>
              <w:t>营业执照、资质证书</w:t>
            </w:r>
            <w:r>
              <w:rPr>
                <w:rFonts w:hint="eastAsia" w:ascii="宋体" w:hAnsi="宋体"/>
                <w:sz w:val="24"/>
                <w:highlight w:val="none"/>
              </w:rPr>
              <w:t>（如供应商因特殊原因暂时无法提供以上证件的原件，同意接受以上证件加盖公章的复印件，在合同签订前须向采购人出具各证件原件接受审查）。</w:t>
            </w:r>
          </w:p>
          <w:p>
            <w:pPr>
              <w:spacing w:line="400" w:lineRule="exact"/>
              <w:ind w:firstLine="235" w:firstLineChars="98"/>
              <w:rPr>
                <w:rFonts w:ascii="宋体" w:hAnsi="宋体"/>
                <w:bCs/>
                <w:sz w:val="24"/>
                <w:highlight w:val="none"/>
              </w:rPr>
            </w:pPr>
            <w:r>
              <w:rPr>
                <w:rFonts w:hint="eastAsia" w:ascii="宋体" w:hAnsi="宋体"/>
                <w:bCs/>
                <w:sz w:val="24"/>
                <w:highlight w:val="none"/>
              </w:rPr>
              <w:t>注：以上需在报价截止时间前一并提供，逾期提供将不予接收，后果自负。证件不全或未按照要求提交，其响应文件将被视为无效报价。</w:t>
            </w:r>
          </w:p>
          <w:p>
            <w:pPr>
              <w:spacing w:line="400" w:lineRule="exact"/>
              <w:ind w:firstLine="235" w:firstLineChars="98"/>
              <w:rPr>
                <w:rFonts w:ascii="宋体" w:hAnsi="宋体"/>
                <w:bCs/>
                <w:sz w:val="24"/>
                <w:highlight w:val="none"/>
              </w:rPr>
            </w:pPr>
            <w:r>
              <w:rPr>
                <w:rFonts w:hint="eastAsia" w:ascii="宋体" w:hAnsi="宋体"/>
                <w:bCs/>
                <w:sz w:val="24"/>
                <w:highlight w:val="none"/>
              </w:rPr>
              <w:t>二、供应商还应将需要磋商小组验证的相关项目组人员、业绩信誉证件与上述资格证件统一密封包装，在递交响应文件时一并提交。</w:t>
            </w:r>
          </w:p>
          <w:p>
            <w:pPr>
              <w:spacing w:line="400" w:lineRule="exact"/>
              <w:ind w:firstLine="235" w:firstLineChars="98"/>
              <w:rPr>
                <w:rFonts w:ascii="宋体" w:hAnsi="宋体" w:eastAsia="宋体"/>
                <w:b/>
                <w:bCs/>
                <w:sz w:val="24"/>
                <w:highlight w:val="none"/>
              </w:rPr>
            </w:pPr>
            <w:r>
              <w:rPr>
                <w:rFonts w:hint="eastAsia" w:ascii="宋体" w:hAnsi="宋体"/>
                <w:bCs/>
                <w:sz w:val="24"/>
                <w:highlight w:val="none"/>
              </w:rPr>
              <w:t>供应商所提供的所有证件及业绩应真实有效，否则将做响应无效。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1" w:hRule="atLeast"/>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27</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参加磋商会议时供应商需要携带的证件</w:t>
            </w:r>
          </w:p>
        </w:tc>
        <w:tc>
          <w:tcPr>
            <w:tcW w:w="6874" w:type="dxa"/>
            <w:vAlign w:val="center"/>
          </w:tcPr>
          <w:p>
            <w:pPr>
              <w:spacing w:line="400" w:lineRule="exact"/>
              <w:jc w:val="left"/>
              <w:rPr>
                <w:rFonts w:ascii="宋体" w:hAnsi="宋体"/>
                <w:sz w:val="24"/>
                <w:highlight w:val="none"/>
              </w:rPr>
            </w:pPr>
            <w:r>
              <w:rPr>
                <w:rFonts w:hint="eastAsia" w:ascii="宋体" w:hAnsi="宋体"/>
                <w:sz w:val="24"/>
                <w:highlight w:val="none"/>
              </w:rPr>
              <w:t>1、供应商的法定代表人（或其委托代理人）应按时参加磋商会议。</w:t>
            </w:r>
          </w:p>
          <w:p>
            <w:pPr>
              <w:spacing w:line="400" w:lineRule="exact"/>
              <w:jc w:val="left"/>
              <w:rPr>
                <w:rFonts w:ascii="宋体" w:hAnsi="宋体"/>
                <w:sz w:val="24"/>
                <w:highlight w:val="none"/>
              </w:rPr>
            </w:pPr>
            <w:r>
              <w:rPr>
                <w:rFonts w:hint="eastAsia" w:ascii="宋体" w:hAnsi="宋体"/>
                <w:sz w:val="24"/>
                <w:highlight w:val="none"/>
              </w:rPr>
              <w:t>2、供应商法定代表人参加磋商会议的，需提交其身份证原件；委托代理人参加磋商会议的，需提交其身份证原件及针对本项目的授权委托书原件（不必密封）。</w:t>
            </w:r>
          </w:p>
          <w:p>
            <w:pPr>
              <w:spacing w:line="400" w:lineRule="exact"/>
              <w:jc w:val="left"/>
              <w:rPr>
                <w:rFonts w:ascii="宋体" w:hAnsi="宋体"/>
                <w:sz w:val="24"/>
                <w:highlight w:val="none"/>
              </w:rPr>
            </w:pPr>
            <w:r>
              <w:rPr>
                <w:rFonts w:hint="eastAsia" w:ascii="宋体" w:hAnsi="宋体"/>
                <w:sz w:val="24"/>
                <w:highlight w:val="none"/>
              </w:rPr>
              <w:t>未按规定提交证件的报价单位，其响应文件将被拒绝。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919" w:type="dxa"/>
            <w:vAlign w:val="center"/>
          </w:tcPr>
          <w:p>
            <w:pPr>
              <w:spacing w:line="400" w:lineRule="exact"/>
              <w:jc w:val="center"/>
              <w:rPr>
                <w:rFonts w:ascii="宋体"/>
                <w:kern w:val="0"/>
                <w:sz w:val="24"/>
                <w:highlight w:val="none"/>
              </w:rPr>
            </w:pPr>
            <w:r>
              <w:rPr>
                <w:rFonts w:hint="eastAsia" w:ascii="宋体" w:hAnsi="宋体"/>
                <w:sz w:val="24"/>
                <w:highlight w:val="none"/>
              </w:rPr>
              <w:t>28</w:t>
            </w:r>
          </w:p>
        </w:tc>
        <w:tc>
          <w:tcPr>
            <w:tcW w:w="2349" w:type="dxa"/>
            <w:vAlign w:val="center"/>
          </w:tcPr>
          <w:p>
            <w:pPr>
              <w:widowControl/>
              <w:autoSpaceDN w:val="0"/>
              <w:spacing w:line="420" w:lineRule="exact"/>
              <w:jc w:val="center"/>
              <w:rPr>
                <w:rFonts w:ascii="宋体" w:hAnsi="宋体" w:cs="宋体"/>
                <w:kern w:val="0"/>
                <w:sz w:val="24"/>
                <w:highlight w:val="none"/>
              </w:rPr>
            </w:pPr>
            <w:r>
              <w:rPr>
                <w:rFonts w:hint="eastAsia" w:ascii="宋体" w:hAnsi="宋体" w:cs="宋体"/>
                <w:kern w:val="0"/>
                <w:sz w:val="24"/>
                <w:highlight w:val="none"/>
              </w:rPr>
              <w:t>评审方法</w:t>
            </w:r>
          </w:p>
        </w:tc>
        <w:tc>
          <w:tcPr>
            <w:tcW w:w="6874" w:type="dxa"/>
            <w:vAlign w:val="center"/>
          </w:tcPr>
          <w:p>
            <w:pPr>
              <w:widowControl/>
              <w:autoSpaceDN w:val="0"/>
              <w:spacing w:line="420" w:lineRule="exact"/>
              <w:jc w:val="left"/>
              <w:rPr>
                <w:rFonts w:ascii="宋体" w:hAnsi="宋体" w:cs="宋体"/>
                <w:kern w:val="0"/>
                <w:sz w:val="24"/>
                <w:highlight w:val="none"/>
              </w:rPr>
            </w:pPr>
            <w:r>
              <w:rPr>
                <w:rFonts w:hint="eastAsia" w:ascii="宋体" w:hAnsi="宋体" w:cs="宋体"/>
                <w:kern w:val="0"/>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25" w:hRule="atLeast"/>
          <w:jc w:val="center"/>
        </w:trPr>
        <w:tc>
          <w:tcPr>
            <w:tcW w:w="919" w:type="dxa"/>
            <w:vAlign w:val="center"/>
          </w:tcPr>
          <w:p>
            <w:pPr>
              <w:autoSpaceDE w:val="0"/>
              <w:autoSpaceDN w:val="0"/>
              <w:adjustRightInd w:val="0"/>
              <w:spacing w:line="420" w:lineRule="exact"/>
              <w:jc w:val="center"/>
              <w:rPr>
                <w:rFonts w:ascii="宋体" w:hAnsi="宋体"/>
                <w:sz w:val="24"/>
                <w:highlight w:val="none"/>
              </w:rPr>
            </w:pPr>
            <w:r>
              <w:rPr>
                <w:rFonts w:hint="eastAsia" w:ascii="宋体"/>
                <w:kern w:val="0"/>
                <w:sz w:val="24"/>
                <w:highlight w:val="none"/>
              </w:rPr>
              <w:t>29</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近年财务状况的年份要求</w:t>
            </w:r>
          </w:p>
        </w:tc>
        <w:tc>
          <w:tcPr>
            <w:tcW w:w="6874" w:type="dxa"/>
            <w:vAlign w:val="center"/>
          </w:tcPr>
          <w:p>
            <w:pPr>
              <w:spacing w:line="400" w:lineRule="exact"/>
              <w:rPr>
                <w:rFonts w:ascii="宋体" w:hAnsi="宋体"/>
                <w:sz w:val="24"/>
                <w:highlight w:val="none"/>
              </w:rPr>
            </w:pPr>
            <w:r>
              <w:rPr>
                <w:rFonts w:hint="eastAsia" w:ascii="宋体" w:hAnsi="宋体"/>
                <w:sz w:val="24"/>
                <w:highlight w:val="none"/>
              </w:rPr>
              <w:t>近三年（2016年1月1日至今）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19" w:type="dxa"/>
            <w:vAlign w:val="center"/>
          </w:tcPr>
          <w:p>
            <w:pPr>
              <w:spacing w:line="400" w:lineRule="exact"/>
              <w:jc w:val="center"/>
              <w:rPr>
                <w:rFonts w:ascii="宋体" w:hAnsi="宋体"/>
                <w:sz w:val="24"/>
                <w:highlight w:val="none"/>
              </w:rPr>
            </w:pPr>
            <w:r>
              <w:rPr>
                <w:rFonts w:hint="eastAsia" w:ascii="宋体" w:hAnsi="宋体"/>
                <w:sz w:val="24"/>
                <w:highlight w:val="none"/>
              </w:rPr>
              <w:t>30</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近年完成的类似项目的年份要求</w:t>
            </w:r>
          </w:p>
        </w:tc>
        <w:tc>
          <w:tcPr>
            <w:tcW w:w="6874" w:type="dxa"/>
            <w:vAlign w:val="center"/>
          </w:tcPr>
          <w:p>
            <w:pPr>
              <w:spacing w:line="400" w:lineRule="exact"/>
              <w:rPr>
                <w:rFonts w:ascii="宋体" w:hAnsi="宋体"/>
                <w:sz w:val="24"/>
                <w:highlight w:val="none"/>
              </w:rPr>
            </w:pPr>
            <w:r>
              <w:rPr>
                <w:rFonts w:hint="eastAsia" w:ascii="宋体" w:hAnsi="宋体"/>
                <w:sz w:val="24"/>
                <w:highlight w:val="none"/>
              </w:rPr>
              <w:t>近三年（2016年1月1日至今），以合同签订时间为准。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19" w:type="dxa"/>
            <w:vAlign w:val="center"/>
          </w:tcPr>
          <w:p>
            <w:pPr>
              <w:spacing w:line="400" w:lineRule="exact"/>
              <w:jc w:val="center"/>
              <w:rPr>
                <w:rFonts w:ascii="宋体"/>
                <w:kern w:val="0"/>
                <w:sz w:val="24"/>
                <w:highlight w:val="none"/>
              </w:rPr>
            </w:pPr>
            <w:r>
              <w:rPr>
                <w:rFonts w:hint="eastAsia" w:ascii="宋体" w:hAnsi="宋体"/>
                <w:sz w:val="24"/>
                <w:highlight w:val="none"/>
              </w:rPr>
              <w:t>31</w:t>
            </w:r>
          </w:p>
        </w:tc>
        <w:tc>
          <w:tcPr>
            <w:tcW w:w="2349" w:type="dxa"/>
            <w:vAlign w:val="center"/>
          </w:tcPr>
          <w:p>
            <w:pPr>
              <w:spacing w:line="400" w:lineRule="exact"/>
              <w:jc w:val="center"/>
              <w:rPr>
                <w:rFonts w:ascii="宋体" w:hAnsi="宋体"/>
                <w:sz w:val="24"/>
                <w:highlight w:val="none"/>
              </w:rPr>
            </w:pPr>
            <w:r>
              <w:rPr>
                <w:rFonts w:hint="eastAsia" w:ascii="宋体" w:hAnsi="宋体"/>
                <w:sz w:val="24"/>
                <w:highlight w:val="none"/>
              </w:rPr>
              <w:t>成交候选人公示媒介</w:t>
            </w:r>
          </w:p>
        </w:tc>
        <w:tc>
          <w:tcPr>
            <w:tcW w:w="6874" w:type="dxa"/>
            <w:vAlign w:val="center"/>
          </w:tcPr>
          <w:p>
            <w:pPr>
              <w:spacing w:line="400" w:lineRule="exact"/>
              <w:rPr>
                <w:rFonts w:ascii="宋体" w:hAnsi="宋体" w:eastAsia="宋体"/>
                <w:sz w:val="24"/>
                <w:highlight w:val="none"/>
              </w:rPr>
            </w:pPr>
            <w:r>
              <w:rPr>
                <w:rFonts w:hint="eastAsia" w:ascii="宋体" w:hAnsi="宋体"/>
                <w:sz w:val="24"/>
                <w:highlight w:val="none"/>
              </w:rPr>
              <w:t>中国采购与招标网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19" w:type="dxa"/>
            <w:vAlign w:val="center"/>
          </w:tcPr>
          <w:p>
            <w:pPr>
              <w:spacing w:line="400" w:lineRule="exact"/>
              <w:jc w:val="center"/>
              <w:rPr>
                <w:rFonts w:ascii="宋体" w:hAnsi="宋体"/>
                <w:sz w:val="24"/>
                <w:highlight w:val="none"/>
              </w:rPr>
            </w:pPr>
            <w:r>
              <w:rPr>
                <w:rFonts w:hint="eastAsia" w:ascii="宋体"/>
                <w:kern w:val="0"/>
                <w:sz w:val="24"/>
                <w:highlight w:val="none"/>
              </w:rPr>
              <w:t>32</w:t>
            </w:r>
          </w:p>
        </w:tc>
        <w:tc>
          <w:tcPr>
            <w:tcW w:w="2349" w:type="dxa"/>
            <w:vAlign w:val="center"/>
          </w:tcPr>
          <w:p>
            <w:pPr>
              <w:spacing w:line="400" w:lineRule="exact"/>
              <w:jc w:val="center"/>
              <w:rPr>
                <w:rFonts w:ascii="宋体" w:hAnsi="宋体" w:eastAsia="宋体"/>
                <w:sz w:val="24"/>
                <w:highlight w:val="none"/>
              </w:rPr>
            </w:pPr>
            <w:r>
              <w:rPr>
                <w:rFonts w:hint="eastAsia" w:ascii="宋体" w:hAnsi="宋体"/>
                <w:sz w:val="24"/>
                <w:highlight w:val="none"/>
              </w:rPr>
              <w:t>其他</w:t>
            </w:r>
          </w:p>
        </w:tc>
        <w:tc>
          <w:tcPr>
            <w:tcW w:w="6874" w:type="dxa"/>
            <w:vAlign w:val="center"/>
          </w:tcPr>
          <w:p>
            <w:pPr>
              <w:spacing w:line="400" w:lineRule="exact"/>
              <w:rPr>
                <w:rFonts w:hint="eastAsia" w:ascii="宋体" w:hAnsi="宋体"/>
                <w:sz w:val="24"/>
                <w:highlight w:val="none"/>
              </w:rPr>
            </w:pPr>
            <w:r>
              <w:rPr>
                <w:rFonts w:hint="eastAsia" w:ascii="宋体" w:hAnsi="宋体"/>
                <w:sz w:val="24"/>
                <w:highlight w:val="none"/>
              </w:rPr>
              <w:t>在任何磋商环节中，需竞争性磋商小组就某项定性的评审结论做出表决的，由竞争性磋商小组全体成员按照少数服从多数的原则，以记名投票方式表决。</w:t>
            </w:r>
          </w:p>
          <w:p>
            <w:pPr>
              <w:pStyle w:val="2"/>
              <w:ind w:firstLine="0" w:firstLineChars="0"/>
              <w:rPr>
                <w:b/>
                <w:highlight w:val="none"/>
              </w:rPr>
            </w:pPr>
            <w:r>
              <w:rPr>
                <w:rFonts w:hint="eastAsia" w:cstheme="minorBidi"/>
                <w:b/>
                <w:kern w:val="2"/>
                <w:highlight w:val="none"/>
              </w:rPr>
              <w:t>中标单位设计成果必须满足招投标相关法律法规要求，设计成果不得含有任何倾向性的内容，如果在后期工程施工政府采购过程中，发现设计内容存在具有倾向性或不符合招投标相关法律法规情形的，招标人有权要求中标单位对设计成果作出修改调整，直至符合要求，修改调整设计成果产出的费用不予支付，给招标人带来的损失应予以赔偿。</w:t>
            </w:r>
          </w:p>
        </w:tc>
      </w:tr>
    </w:tbl>
    <w:p>
      <w:pPr>
        <w:pStyle w:val="5"/>
        <w:spacing w:line="520" w:lineRule="exact"/>
        <w:rPr>
          <w:highlight w:val="none"/>
        </w:rPr>
      </w:pPr>
      <w:bookmarkStart w:id="31" w:name="_Toc8056"/>
      <w:bookmarkStart w:id="32" w:name="_Toc9249"/>
      <w:bookmarkStart w:id="33" w:name="_Toc246996918"/>
      <w:bookmarkStart w:id="34" w:name="_Toc179632546"/>
      <w:bookmarkStart w:id="35" w:name="_Toc152042305"/>
      <w:bookmarkStart w:id="36" w:name="_Toc247085689"/>
      <w:bookmarkStart w:id="37" w:name="_Toc296602420"/>
      <w:bookmarkStart w:id="38" w:name="_Toc18401"/>
      <w:bookmarkStart w:id="39" w:name="_Toc144974497"/>
      <w:bookmarkStart w:id="40" w:name="_Toc152045529"/>
      <w:bookmarkStart w:id="41" w:name="_Toc246996175"/>
      <w:r>
        <w:rPr>
          <w:rFonts w:hint="eastAsia"/>
          <w:highlight w:val="none"/>
        </w:rPr>
        <w:t>1. 总则</w:t>
      </w:r>
      <w:bookmarkEnd w:id="31"/>
      <w:bookmarkEnd w:id="32"/>
      <w:bookmarkEnd w:id="33"/>
      <w:bookmarkEnd w:id="34"/>
      <w:bookmarkEnd w:id="35"/>
      <w:bookmarkEnd w:id="36"/>
      <w:bookmarkEnd w:id="37"/>
      <w:bookmarkEnd w:id="38"/>
      <w:bookmarkEnd w:id="39"/>
      <w:bookmarkEnd w:id="40"/>
      <w:bookmarkEnd w:id="41"/>
    </w:p>
    <w:p>
      <w:pPr>
        <w:pStyle w:val="5"/>
        <w:spacing w:line="520" w:lineRule="exact"/>
        <w:rPr>
          <w:highlight w:val="none"/>
        </w:rPr>
      </w:pPr>
      <w:bookmarkStart w:id="42" w:name="_Toc246996176"/>
      <w:bookmarkStart w:id="43" w:name="_Toc247085690"/>
      <w:bookmarkStart w:id="44" w:name="_Toc26253"/>
      <w:bookmarkStart w:id="45" w:name="_Toc296602421"/>
      <w:bookmarkStart w:id="46" w:name="_Toc246996919"/>
      <w:bookmarkStart w:id="47" w:name="_Toc144974498"/>
      <w:bookmarkStart w:id="48" w:name="_Toc152045530"/>
      <w:bookmarkStart w:id="49" w:name="_Toc28224"/>
      <w:bookmarkStart w:id="50" w:name="_Toc4401"/>
      <w:bookmarkStart w:id="51" w:name="_Toc179632547"/>
      <w:bookmarkStart w:id="52" w:name="_Toc152042306"/>
      <w:r>
        <w:rPr>
          <w:rFonts w:hint="eastAsia"/>
          <w:highlight w:val="none"/>
        </w:rPr>
        <w:t>1.1 项目概况</w:t>
      </w:r>
      <w:bookmarkEnd w:id="42"/>
      <w:bookmarkEnd w:id="43"/>
      <w:bookmarkEnd w:id="44"/>
      <w:bookmarkEnd w:id="45"/>
      <w:bookmarkEnd w:id="46"/>
      <w:bookmarkEnd w:id="47"/>
      <w:bookmarkEnd w:id="48"/>
      <w:bookmarkEnd w:id="49"/>
      <w:bookmarkEnd w:id="50"/>
      <w:bookmarkEnd w:id="51"/>
      <w:bookmarkEnd w:id="52"/>
    </w:p>
    <w:p>
      <w:pPr>
        <w:spacing w:line="520" w:lineRule="exact"/>
        <w:ind w:firstLine="480" w:firstLineChars="200"/>
        <w:rPr>
          <w:rFonts w:ascii="宋体" w:hAnsi="宋体"/>
          <w:sz w:val="24"/>
          <w:highlight w:val="none"/>
        </w:rPr>
      </w:pPr>
      <w:r>
        <w:rPr>
          <w:rFonts w:hint="eastAsia" w:ascii="宋体" w:hAnsi="宋体"/>
          <w:sz w:val="24"/>
          <w:highlight w:val="none"/>
        </w:rPr>
        <w:t>1.1.1根据《中华人民共和国招标投标法》、《中华人民共和国政府采购法》等有关法律、法规和规章的规定，本采购项目已具备招标条件，现对本项目设计进行招标。</w:t>
      </w:r>
    </w:p>
    <w:p>
      <w:pPr>
        <w:spacing w:line="520" w:lineRule="exact"/>
        <w:ind w:firstLine="480" w:firstLineChars="200"/>
        <w:rPr>
          <w:rFonts w:ascii="宋体" w:hAnsi="宋体"/>
          <w:sz w:val="24"/>
          <w:highlight w:val="none"/>
        </w:rPr>
      </w:pPr>
      <w:r>
        <w:rPr>
          <w:rFonts w:hint="eastAsia" w:ascii="宋体" w:hAnsi="宋体"/>
          <w:sz w:val="24"/>
          <w:highlight w:val="none"/>
        </w:rPr>
        <w:t>1.1.2 本采购项目采购人：见须知前附表。</w:t>
      </w:r>
    </w:p>
    <w:p>
      <w:pPr>
        <w:spacing w:line="520" w:lineRule="exact"/>
        <w:ind w:firstLine="480" w:firstLineChars="200"/>
        <w:rPr>
          <w:rFonts w:ascii="宋体" w:hAnsi="宋体"/>
          <w:sz w:val="24"/>
          <w:highlight w:val="none"/>
        </w:rPr>
      </w:pPr>
      <w:r>
        <w:rPr>
          <w:rFonts w:hint="eastAsia" w:ascii="宋体" w:hAnsi="宋体"/>
          <w:sz w:val="24"/>
          <w:highlight w:val="none"/>
        </w:rPr>
        <w:t>1.1.3 本采购项目采购代理机构：见须知前附表。</w:t>
      </w:r>
    </w:p>
    <w:p>
      <w:pPr>
        <w:spacing w:line="520" w:lineRule="exact"/>
        <w:ind w:firstLine="480" w:firstLineChars="200"/>
        <w:rPr>
          <w:rFonts w:ascii="宋体" w:hAnsi="宋体"/>
          <w:sz w:val="24"/>
          <w:highlight w:val="none"/>
        </w:rPr>
      </w:pPr>
      <w:r>
        <w:rPr>
          <w:rFonts w:hint="eastAsia" w:ascii="宋体" w:hAnsi="宋体"/>
          <w:sz w:val="24"/>
          <w:highlight w:val="none"/>
        </w:rPr>
        <w:t>1.1.4 本采购项目名称：见须知前附表。</w:t>
      </w:r>
    </w:p>
    <w:p>
      <w:pPr>
        <w:spacing w:line="520" w:lineRule="exact"/>
        <w:ind w:firstLine="480" w:firstLineChars="200"/>
        <w:rPr>
          <w:rFonts w:ascii="宋体" w:hAnsi="宋体"/>
          <w:sz w:val="24"/>
          <w:highlight w:val="none"/>
        </w:rPr>
      </w:pPr>
      <w:r>
        <w:rPr>
          <w:rFonts w:hint="eastAsia" w:ascii="宋体" w:hAnsi="宋体"/>
          <w:sz w:val="24"/>
          <w:highlight w:val="none"/>
        </w:rPr>
        <w:t>1.1.5 本采购项目建设地点：见须知前附表。</w:t>
      </w:r>
    </w:p>
    <w:p>
      <w:pPr>
        <w:pStyle w:val="5"/>
        <w:spacing w:line="520" w:lineRule="exact"/>
        <w:rPr>
          <w:highlight w:val="none"/>
        </w:rPr>
      </w:pPr>
      <w:bookmarkStart w:id="53" w:name="_Toc22867"/>
      <w:bookmarkStart w:id="54" w:name="_Toc152045531"/>
      <w:bookmarkStart w:id="55" w:name="_Toc246996920"/>
      <w:bookmarkStart w:id="56" w:name="_Toc5727"/>
      <w:bookmarkStart w:id="57" w:name="_Toc144974499"/>
      <w:bookmarkStart w:id="58" w:name="_Toc152042307"/>
      <w:bookmarkStart w:id="59" w:name="_Toc247085691"/>
      <w:bookmarkStart w:id="60" w:name="_Toc246996177"/>
      <w:bookmarkStart w:id="61" w:name="_Toc179632548"/>
      <w:bookmarkStart w:id="62" w:name="_Toc296602422"/>
      <w:bookmarkStart w:id="63" w:name="_Toc21359"/>
      <w:r>
        <w:rPr>
          <w:rFonts w:hint="eastAsia"/>
          <w:highlight w:val="none"/>
        </w:rPr>
        <w:t>1.2 资金来源和落实情况</w:t>
      </w:r>
      <w:bookmarkEnd w:id="53"/>
      <w:bookmarkEnd w:id="54"/>
      <w:bookmarkEnd w:id="55"/>
      <w:bookmarkEnd w:id="56"/>
      <w:bookmarkEnd w:id="57"/>
      <w:bookmarkEnd w:id="58"/>
      <w:bookmarkEnd w:id="59"/>
      <w:bookmarkEnd w:id="60"/>
      <w:bookmarkEnd w:id="61"/>
      <w:bookmarkEnd w:id="62"/>
      <w:bookmarkEnd w:id="63"/>
    </w:p>
    <w:p>
      <w:pPr>
        <w:spacing w:line="520" w:lineRule="exact"/>
        <w:ind w:firstLine="480" w:firstLineChars="200"/>
        <w:rPr>
          <w:rFonts w:ascii="宋体" w:hAnsi="宋体"/>
          <w:sz w:val="24"/>
          <w:highlight w:val="none"/>
        </w:rPr>
      </w:pPr>
      <w:r>
        <w:rPr>
          <w:rFonts w:hint="eastAsia" w:ascii="宋体" w:hAnsi="宋体"/>
          <w:sz w:val="24"/>
          <w:highlight w:val="none"/>
        </w:rPr>
        <w:t>1.2.1 本采购项目的资金来源：见须知前附表。</w:t>
      </w:r>
    </w:p>
    <w:p>
      <w:pPr>
        <w:spacing w:line="520" w:lineRule="exact"/>
        <w:ind w:firstLine="480" w:firstLineChars="200"/>
        <w:rPr>
          <w:sz w:val="24"/>
          <w:highlight w:val="none"/>
        </w:rPr>
      </w:pPr>
      <w:r>
        <w:rPr>
          <w:rFonts w:hint="eastAsia" w:ascii="宋体" w:hAnsi="宋体"/>
          <w:sz w:val="24"/>
          <w:highlight w:val="none"/>
        </w:rPr>
        <w:t>1.2.2 本采购项目的资金落实情况：见须知前附表。</w:t>
      </w:r>
    </w:p>
    <w:p>
      <w:pPr>
        <w:pStyle w:val="5"/>
        <w:spacing w:line="520" w:lineRule="exact"/>
        <w:rPr>
          <w:highlight w:val="none"/>
        </w:rPr>
      </w:pPr>
      <w:bookmarkStart w:id="64" w:name="_Toc152042308"/>
      <w:bookmarkStart w:id="65" w:name="_Toc247085692"/>
      <w:bookmarkStart w:id="66" w:name="_Toc144974500"/>
      <w:bookmarkStart w:id="67" w:name="_Toc246996178"/>
      <w:bookmarkStart w:id="68" w:name="_Toc296602423"/>
      <w:bookmarkStart w:id="69" w:name="_Toc179632549"/>
      <w:bookmarkStart w:id="70" w:name="_Toc152045532"/>
      <w:bookmarkStart w:id="71" w:name="_Toc246996921"/>
      <w:bookmarkStart w:id="72" w:name="_Toc8723"/>
      <w:bookmarkStart w:id="73" w:name="_Toc15157"/>
      <w:bookmarkStart w:id="74" w:name="_Toc491"/>
      <w:r>
        <w:rPr>
          <w:rFonts w:hint="eastAsia"/>
          <w:highlight w:val="none"/>
        </w:rPr>
        <w:t>1.3 采购范围、设计期限、</w:t>
      </w:r>
      <w:bookmarkEnd w:id="64"/>
      <w:bookmarkEnd w:id="65"/>
      <w:bookmarkEnd w:id="66"/>
      <w:bookmarkEnd w:id="67"/>
      <w:bookmarkEnd w:id="68"/>
      <w:bookmarkEnd w:id="69"/>
      <w:bookmarkEnd w:id="70"/>
      <w:bookmarkEnd w:id="71"/>
      <w:r>
        <w:rPr>
          <w:rFonts w:hint="eastAsia"/>
          <w:highlight w:val="none"/>
        </w:rPr>
        <w:t>服务要求</w:t>
      </w:r>
      <w:bookmarkEnd w:id="72"/>
      <w:bookmarkEnd w:id="73"/>
      <w:bookmarkEnd w:id="74"/>
    </w:p>
    <w:p>
      <w:pPr>
        <w:spacing w:line="520" w:lineRule="exact"/>
        <w:ind w:firstLine="480" w:firstLineChars="200"/>
        <w:rPr>
          <w:rFonts w:ascii="宋体" w:hAnsi="宋体"/>
          <w:sz w:val="24"/>
          <w:highlight w:val="none"/>
        </w:rPr>
      </w:pPr>
      <w:r>
        <w:rPr>
          <w:rFonts w:hint="eastAsia" w:ascii="宋体" w:hAnsi="宋体"/>
          <w:sz w:val="24"/>
          <w:highlight w:val="none"/>
        </w:rPr>
        <w:t>1.3.1 本次采购范围：见须知前附表。</w:t>
      </w:r>
    </w:p>
    <w:p>
      <w:pPr>
        <w:spacing w:line="520" w:lineRule="exact"/>
        <w:ind w:firstLine="480" w:firstLineChars="200"/>
        <w:rPr>
          <w:rFonts w:ascii="宋体" w:hAnsi="宋体"/>
          <w:sz w:val="24"/>
          <w:highlight w:val="none"/>
        </w:rPr>
      </w:pPr>
      <w:r>
        <w:rPr>
          <w:rFonts w:hint="eastAsia" w:ascii="宋体" w:hAnsi="宋体"/>
          <w:sz w:val="24"/>
          <w:highlight w:val="none"/>
        </w:rPr>
        <w:t>1.3.2 本采购项目的设计期限：见须知前附表。</w:t>
      </w:r>
    </w:p>
    <w:p>
      <w:pPr>
        <w:spacing w:line="520" w:lineRule="exact"/>
        <w:ind w:firstLine="480" w:firstLineChars="200"/>
        <w:rPr>
          <w:rFonts w:ascii="宋体" w:hAnsi="宋体"/>
          <w:sz w:val="24"/>
          <w:highlight w:val="none"/>
        </w:rPr>
      </w:pPr>
      <w:r>
        <w:rPr>
          <w:rFonts w:hint="eastAsia" w:ascii="宋体" w:hAnsi="宋体"/>
          <w:sz w:val="24"/>
          <w:highlight w:val="none"/>
        </w:rPr>
        <w:t>1.3.3 本采购项目的服务要求：见须知前附表。</w:t>
      </w:r>
    </w:p>
    <w:p>
      <w:pPr>
        <w:pStyle w:val="5"/>
        <w:spacing w:line="520" w:lineRule="exact"/>
        <w:rPr>
          <w:highlight w:val="none"/>
        </w:rPr>
      </w:pPr>
      <w:bookmarkStart w:id="75" w:name="_Toc26508"/>
      <w:bookmarkStart w:id="76" w:name="_Toc9534"/>
      <w:bookmarkStart w:id="77" w:name="_Toc179632551"/>
      <w:bookmarkStart w:id="78" w:name="_Toc144974502"/>
      <w:bookmarkStart w:id="79" w:name="_Toc152042310"/>
      <w:bookmarkStart w:id="80" w:name="_Toc246996179"/>
      <w:bookmarkStart w:id="81" w:name="_Toc247085693"/>
      <w:bookmarkStart w:id="82" w:name="_Toc14094"/>
      <w:bookmarkStart w:id="83" w:name="_Toc152045534"/>
      <w:bookmarkStart w:id="84" w:name="_Toc296602424"/>
      <w:bookmarkStart w:id="85" w:name="_Toc246996922"/>
      <w:r>
        <w:rPr>
          <w:rFonts w:hint="eastAsia"/>
          <w:highlight w:val="none"/>
        </w:rPr>
        <w:t>1.4 资格要求</w:t>
      </w:r>
      <w:bookmarkEnd w:id="75"/>
      <w:bookmarkEnd w:id="76"/>
      <w:bookmarkEnd w:id="77"/>
      <w:bookmarkEnd w:id="78"/>
      <w:bookmarkEnd w:id="79"/>
      <w:bookmarkEnd w:id="80"/>
      <w:bookmarkEnd w:id="81"/>
      <w:bookmarkEnd w:id="82"/>
      <w:bookmarkEnd w:id="83"/>
      <w:bookmarkEnd w:id="84"/>
      <w:bookmarkEnd w:id="85"/>
    </w:p>
    <w:p>
      <w:pPr>
        <w:spacing w:line="520" w:lineRule="exact"/>
        <w:ind w:firstLine="480" w:firstLineChars="200"/>
        <w:rPr>
          <w:rFonts w:ascii="宋体" w:hAnsi="宋体"/>
          <w:sz w:val="24"/>
          <w:highlight w:val="none"/>
        </w:rPr>
      </w:pPr>
      <w:r>
        <w:rPr>
          <w:rFonts w:hint="eastAsia" w:ascii="宋体" w:hAnsi="宋体"/>
          <w:sz w:val="24"/>
          <w:highlight w:val="none"/>
        </w:rPr>
        <w:t>1.4.1 应具备承担本项目设计的资质条件、能力和信誉。</w:t>
      </w:r>
    </w:p>
    <w:p>
      <w:pPr>
        <w:spacing w:line="520" w:lineRule="exact"/>
        <w:ind w:firstLine="480" w:firstLineChars="200"/>
        <w:rPr>
          <w:rFonts w:ascii="宋体" w:hAnsi="宋体"/>
          <w:sz w:val="24"/>
          <w:highlight w:val="none"/>
        </w:rPr>
      </w:pPr>
      <w:r>
        <w:rPr>
          <w:rFonts w:hint="eastAsia" w:ascii="宋体" w:hAnsi="宋体"/>
          <w:sz w:val="24"/>
          <w:highlight w:val="none"/>
        </w:rPr>
        <w:t>符合磋商文件第一章磋商公告第四部分资格要求。</w:t>
      </w:r>
    </w:p>
    <w:p>
      <w:pPr>
        <w:spacing w:line="520" w:lineRule="exact"/>
        <w:ind w:firstLine="480" w:firstLineChars="200"/>
        <w:rPr>
          <w:rFonts w:ascii="宋体" w:hAnsi="宋体"/>
          <w:sz w:val="24"/>
          <w:highlight w:val="none"/>
        </w:rPr>
      </w:pPr>
      <w:r>
        <w:rPr>
          <w:rFonts w:hint="eastAsia" w:ascii="宋体" w:hAnsi="宋体"/>
          <w:sz w:val="24"/>
          <w:highlight w:val="none"/>
        </w:rPr>
        <w:t>1.4.2 不得存在下列情形之一：</w:t>
      </w:r>
    </w:p>
    <w:p>
      <w:pPr>
        <w:spacing w:line="520" w:lineRule="exact"/>
        <w:ind w:firstLine="480" w:firstLineChars="200"/>
        <w:rPr>
          <w:rFonts w:ascii="宋体" w:hAnsi="宋体"/>
          <w:sz w:val="24"/>
          <w:highlight w:val="none"/>
        </w:rPr>
      </w:pPr>
      <w:r>
        <w:rPr>
          <w:rFonts w:hint="eastAsia" w:ascii="宋体" w:hAnsi="宋体"/>
          <w:sz w:val="24"/>
          <w:highlight w:val="none"/>
        </w:rPr>
        <w:t>（1）为采购人不具有独立法人资格的附属机构（单位）；</w:t>
      </w:r>
    </w:p>
    <w:p>
      <w:pPr>
        <w:spacing w:line="520" w:lineRule="exact"/>
        <w:ind w:firstLine="480" w:firstLineChars="200"/>
        <w:rPr>
          <w:rFonts w:ascii="宋体" w:hAnsi="宋体"/>
          <w:sz w:val="24"/>
          <w:highlight w:val="none"/>
        </w:rPr>
      </w:pPr>
      <w:r>
        <w:rPr>
          <w:rFonts w:hint="eastAsia" w:ascii="宋体" w:hAnsi="宋体"/>
          <w:sz w:val="24"/>
          <w:highlight w:val="none"/>
        </w:rPr>
        <w:t xml:space="preserve">（2）为本采购项目前期准备提供设计或咨询服务的； </w:t>
      </w:r>
    </w:p>
    <w:p>
      <w:pPr>
        <w:spacing w:line="520" w:lineRule="exact"/>
        <w:ind w:firstLine="480" w:firstLineChars="200"/>
        <w:rPr>
          <w:rFonts w:ascii="宋体" w:hAnsi="宋体"/>
          <w:sz w:val="24"/>
          <w:highlight w:val="none"/>
        </w:rPr>
      </w:pPr>
      <w:r>
        <w:rPr>
          <w:rFonts w:hint="eastAsia" w:ascii="宋体" w:hAnsi="宋体"/>
          <w:sz w:val="24"/>
          <w:highlight w:val="none"/>
        </w:rPr>
        <w:t>（3）为本采购项目的监理人；</w:t>
      </w:r>
    </w:p>
    <w:p>
      <w:pPr>
        <w:spacing w:line="520" w:lineRule="exact"/>
        <w:ind w:firstLine="480" w:firstLineChars="200"/>
        <w:rPr>
          <w:rFonts w:ascii="宋体" w:hAnsi="宋体"/>
          <w:sz w:val="24"/>
          <w:highlight w:val="none"/>
        </w:rPr>
      </w:pPr>
      <w:r>
        <w:rPr>
          <w:rFonts w:hint="eastAsia" w:ascii="宋体" w:hAnsi="宋体"/>
          <w:sz w:val="24"/>
          <w:highlight w:val="none"/>
        </w:rPr>
        <w:t xml:space="preserve">（4）为本采购项目的代建人； </w:t>
      </w:r>
    </w:p>
    <w:p>
      <w:pPr>
        <w:spacing w:line="520" w:lineRule="exact"/>
        <w:ind w:firstLine="480" w:firstLineChars="200"/>
        <w:rPr>
          <w:rFonts w:ascii="宋体" w:hAnsi="宋体"/>
          <w:sz w:val="24"/>
          <w:highlight w:val="none"/>
        </w:rPr>
      </w:pPr>
      <w:r>
        <w:rPr>
          <w:rFonts w:hint="eastAsia" w:ascii="宋体" w:hAnsi="宋体"/>
          <w:sz w:val="24"/>
          <w:highlight w:val="none"/>
        </w:rPr>
        <w:t xml:space="preserve">（5）为本采购项目提供招标代理服务的； </w:t>
      </w:r>
    </w:p>
    <w:p>
      <w:pPr>
        <w:spacing w:line="520" w:lineRule="exact"/>
        <w:ind w:firstLine="480" w:firstLineChars="200"/>
        <w:rPr>
          <w:rFonts w:ascii="宋体" w:hAnsi="宋体"/>
          <w:sz w:val="24"/>
          <w:highlight w:val="none"/>
        </w:rPr>
      </w:pPr>
      <w:r>
        <w:rPr>
          <w:rFonts w:hint="eastAsia" w:ascii="宋体" w:hAnsi="宋体"/>
          <w:sz w:val="24"/>
          <w:highlight w:val="none"/>
        </w:rPr>
        <w:t>（6）与本采购项目的监理人或代建人或采购代理机构同为一个法定代表人的；</w:t>
      </w:r>
    </w:p>
    <w:p>
      <w:pPr>
        <w:spacing w:line="520" w:lineRule="exact"/>
        <w:ind w:firstLine="480" w:firstLineChars="200"/>
        <w:rPr>
          <w:rFonts w:ascii="宋体" w:hAnsi="宋体"/>
          <w:sz w:val="24"/>
          <w:highlight w:val="none"/>
        </w:rPr>
      </w:pPr>
      <w:r>
        <w:rPr>
          <w:rFonts w:hint="eastAsia" w:ascii="宋体" w:hAnsi="宋体"/>
          <w:sz w:val="24"/>
          <w:highlight w:val="none"/>
        </w:rPr>
        <w:t>（7）与本采购项目的监理人或代建人或采购代理机构相互控股或参股的；</w:t>
      </w:r>
    </w:p>
    <w:p>
      <w:pPr>
        <w:spacing w:line="520" w:lineRule="exact"/>
        <w:ind w:firstLine="480" w:firstLineChars="200"/>
        <w:rPr>
          <w:rFonts w:ascii="宋体" w:hAnsi="宋体"/>
          <w:sz w:val="24"/>
          <w:highlight w:val="none"/>
        </w:rPr>
      </w:pPr>
      <w:r>
        <w:rPr>
          <w:rFonts w:hint="eastAsia" w:ascii="宋体" w:hAnsi="宋体"/>
          <w:sz w:val="24"/>
          <w:highlight w:val="none"/>
        </w:rPr>
        <w:t>（8）与本采购项目的监理人或代建人或采购代理机构相互任职或工作的；</w:t>
      </w:r>
    </w:p>
    <w:p>
      <w:pPr>
        <w:spacing w:line="520" w:lineRule="exact"/>
        <w:ind w:firstLine="480" w:firstLineChars="200"/>
        <w:rPr>
          <w:rFonts w:ascii="宋体" w:hAnsi="宋体"/>
          <w:sz w:val="24"/>
          <w:highlight w:val="none"/>
        </w:rPr>
      </w:pPr>
      <w:r>
        <w:rPr>
          <w:rFonts w:hint="eastAsia" w:ascii="宋体" w:hAnsi="宋体"/>
          <w:sz w:val="24"/>
          <w:highlight w:val="none"/>
        </w:rPr>
        <w:t xml:space="preserve">（9）被责令停业的； </w:t>
      </w:r>
    </w:p>
    <w:p>
      <w:pPr>
        <w:spacing w:line="520" w:lineRule="exact"/>
        <w:ind w:firstLine="480" w:firstLineChars="200"/>
        <w:rPr>
          <w:rFonts w:ascii="宋体" w:hAnsi="宋体"/>
          <w:sz w:val="24"/>
          <w:highlight w:val="none"/>
        </w:rPr>
      </w:pPr>
      <w:r>
        <w:rPr>
          <w:rFonts w:hint="eastAsia" w:ascii="宋体" w:hAnsi="宋体"/>
          <w:sz w:val="24"/>
          <w:highlight w:val="none"/>
        </w:rPr>
        <w:t xml:space="preserve">（10）被暂停或取消投标资格的； </w:t>
      </w:r>
    </w:p>
    <w:p>
      <w:pPr>
        <w:spacing w:line="520" w:lineRule="exact"/>
        <w:ind w:firstLine="480" w:firstLineChars="200"/>
        <w:rPr>
          <w:rFonts w:ascii="宋体" w:hAnsi="宋体"/>
          <w:sz w:val="24"/>
          <w:highlight w:val="none"/>
        </w:rPr>
      </w:pPr>
      <w:r>
        <w:rPr>
          <w:rFonts w:hint="eastAsia" w:ascii="宋体" w:hAnsi="宋体"/>
          <w:sz w:val="24"/>
          <w:highlight w:val="none"/>
        </w:rPr>
        <w:t>（11）财产被接管或冻结的；</w:t>
      </w:r>
    </w:p>
    <w:p>
      <w:pPr>
        <w:spacing w:line="520" w:lineRule="exact"/>
        <w:ind w:firstLine="480" w:firstLineChars="200"/>
        <w:rPr>
          <w:rFonts w:ascii="宋体" w:hAnsi="宋体"/>
          <w:sz w:val="24"/>
          <w:highlight w:val="none"/>
        </w:rPr>
      </w:pPr>
      <w:r>
        <w:rPr>
          <w:rFonts w:hint="eastAsia" w:ascii="宋体" w:hAnsi="宋体"/>
          <w:sz w:val="24"/>
          <w:highlight w:val="none"/>
        </w:rPr>
        <w:t>（12）在最近三年内有骗取中标或严重违约或重大工程质量问题的。</w:t>
      </w:r>
    </w:p>
    <w:p>
      <w:pPr>
        <w:spacing w:line="520" w:lineRule="exact"/>
        <w:ind w:firstLine="480" w:firstLineChars="200"/>
        <w:rPr>
          <w:rFonts w:ascii="宋体" w:hAnsi="宋体"/>
          <w:sz w:val="24"/>
          <w:highlight w:val="none"/>
        </w:rPr>
      </w:pPr>
      <w:r>
        <w:rPr>
          <w:rFonts w:hint="eastAsia" w:ascii="宋体" w:hAnsi="宋体"/>
          <w:sz w:val="24"/>
          <w:highlight w:val="none"/>
        </w:rPr>
        <w:t>1.4.3 单位负责人为同一人或者存在控股、管理关系的不同单位，不得同时参加本采购项目投标。</w:t>
      </w:r>
    </w:p>
    <w:p>
      <w:pPr>
        <w:spacing w:line="520" w:lineRule="exact"/>
        <w:ind w:firstLine="480" w:firstLineChars="200"/>
        <w:rPr>
          <w:rFonts w:ascii="宋体" w:hAnsi="宋体"/>
          <w:sz w:val="24"/>
          <w:highlight w:val="none"/>
        </w:rPr>
      </w:pPr>
      <w:r>
        <w:rPr>
          <w:rFonts w:hint="eastAsia" w:ascii="宋体" w:hAnsi="宋体"/>
          <w:sz w:val="24"/>
          <w:highlight w:val="none"/>
        </w:rPr>
        <w:t>1.4.4 按时递交响应文件的须满足并承诺以下内容：</w:t>
      </w:r>
    </w:p>
    <w:p>
      <w:pPr>
        <w:spacing w:line="520" w:lineRule="exact"/>
        <w:ind w:firstLine="480" w:firstLineChars="200"/>
        <w:rPr>
          <w:rFonts w:ascii="宋体" w:hAnsi="宋体"/>
          <w:sz w:val="24"/>
          <w:highlight w:val="none"/>
        </w:rPr>
      </w:pPr>
      <w:r>
        <w:rPr>
          <w:rFonts w:hint="eastAsia" w:ascii="宋体" w:hAnsi="宋体"/>
          <w:sz w:val="24"/>
          <w:highlight w:val="none"/>
        </w:rPr>
        <w:t xml:space="preserve">(1) 具有独立法人资格能够独立承担民事责任； </w:t>
      </w:r>
    </w:p>
    <w:p>
      <w:pPr>
        <w:spacing w:line="520" w:lineRule="exact"/>
        <w:ind w:firstLine="480" w:firstLineChars="200"/>
        <w:rPr>
          <w:rFonts w:ascii="宋体" w:hAnsi="宋体"/>
          <w:sz w:val="24"/>
          <w:highlight w:val="none"/>
        </w:rPr>
      </w:pPr>
      <w:r>
        <w:rPr>
          <w:rFonts w:hint="eastAsia" w:ascii="宋体" w:hAnsi="宋体"/>
          <w:sz w:val="24"/>
          <w:highlight w:val="none"/>
        </w:rPr>
        <w:t>(2) 具有良好的商业信誉和健全的财务会计制度；</w:t>
      </w:r>
    </w:p>
    <w:p>
      <w:pPr>
        <w:spacing w:line="520" w:lineRule="exact"/>
        <w:ind w:firstLine="480" w:firstLineChars="200"/>
        <w:rPr>
          <w:rFonts w:ascii="宋体" w:hAnsi="宋体"/>
          <w:sz w:val="24"/>
          <w:highlight w:val="none"/>
        </w:rPr>
      </w:pPr>
      <w:r>
        <w:rPr>
          <w:rFonts w:hint="eastAsia" w:ascii="宋体" w:hAnsi="宋体"/>
          <w:sz w:val="24"/>
          <w:highlight w:val="none"/>
        </w:rPr>
        <w:t>(3) 具有履行合同所必需的设备和专业技术能力；</w:t>
      </w:r>
    </w:p>
    <w:p>
      <w:pPr>
        <w:spacing w:line="520" w:lineRule="exact"/>
        <w:ind w:firstLine="480" w:firstLineChars="200"/>
        <w:rPr>
          <w:rFonts w:ascii="宋体" w:hAnsi="宋体"/>
          <w:sz w:val="24"/>
          <w:highlight w:val="none"/>
        </w:rPr>
      </w:pPr>
      <w:r>
        <w:rPr>
          <w:rFonts w:hint="eastAsia" w:ascii="宋体" w:hAnsi="宋体"/>
          <w:sz w:val="24"/>
          <w:highlight w:val="none"/>
        </w:rPr>
        <w:t>(4) 有依法缴纳税收和社会保障资金的良好记录；</w:t>
      </w:r>
    </w:p>
    <w:p>
      <w:pPr>
        <w:spacing w:line="520" w:lineRule="exact"/>
        <w:ind w:firstLine="480" w:firstLineChars="200"/>
        <w:rPr>
          <w:rFonts w:ascii="宋体" w:hAnsi="宋体"/>
          <w:sz w:val="24"/>
          <w:highlight w:val="none"/>
        </w:rPr>
      </w:pPr>
      <w:r>
        <w:rPr>
          <w:rFonts w:hint="eastAsia" w:ascii="宋体" w:hAnsi="宋体"/>
          <w:sz w:val="24"/>
          <w:highlight w:val="none"/>
        </w:rPr>
        <w:t>(5) 参加政府采购活动近三年内，在经营活动中没有重大违法及行贿记录；</w:t>
      </w:r>
    </w:p>
    <w:p>
      <w:pPr>
        <w:spacing w:line="520" w:lineRule="exact"/>
        <w:ind w:firstLine="480" w:firstLineChars="200"/>
        <w:rPr>
          <w:sz w:val="24"/>
          <w:highlight w:val="none"/>
        </w:rPr>
      </w:pPr>
      <w:r>
        <w:rPr>
          <w:rFonts w:hint="eastAsia" w:ascii="宋体" w:hAnsi="宋体"/>
          <w:sz w:val="24"/>
          <w:highlight w:val="none"/>
        </w:rPr>
        <w:t>如发现不满足1.4.1—1.4.4各项条款要求，视为不响应磋商文件要求，其投标将被否决。</w:t>
      </w:r>
    </w:p>
    <w:p>
      <w:pPr>
        <w:pStyle w:val="5"/>
        <w:spacing w:line="520" w:lineRule="exact"/>
        <w:rPr>
          <w:highlight w:val="none"/>
        </w:rPr>
      </w:pPr>
      <w:bookmarkStart w:id="86" w:name="_Toc476"/>
      <w:bookmarkStart w:id="87" w:name="_Toc246996180"/>
      <w:bookmarkStart w:id="88" w:name="_Toc247085694"/>
      <w:bookmarkStart w:id="89" w:name="_Toc15476"/>
      <w:bookmarkStart w:id="90" w:name="_Toc246996923"/>
      <w:bookmarkStart w:id="91" w:name="_Toc29470"/>
      <w:bookmarkStart w:id="92" w:name="_Toc152045535"/>
      <w:bookmarkStart w:id="93" w:name="_Toc152042311"/>
      <w:bookmarkStart w:id="94" w:name="_Toc144974503"/>
      <w:bookmarkStart w:id="95" w:name="_Toc179632552"/>
      <w:bookmarkStart w:id="96" w:name="_Toc296602425"/>
      <w:r>
        <w:rPr>
          <w:rFonts w:hint="eastAsia"/>
          <w:highlight w:val="none"/>
        </w:rPr>
        <w:t>1.5 费用承担</w:t>
      </w:r>
      <w:bookmarkEnd w:id="86"/>
      <w:bookmarkEnd w:id="87"/>
      <w:bookmarkEnd w:id="88"/>
      <w:bookmarkEnd w:id="89"/>
      <w:bookmarkEnd w:id="90"/>
      <w:bookmarkEnd w:id="91"/>
      <w:bookmarkEnd w:id="92"/>
      <w:bookmarkEnd w:id="93"/>
      <w:bookmarkEnd w:id="94"/>
      <w:bookmarkEnd w:id="95"/>
      <w:bookmarkEnd w:id="96"/>
    </w:p>
    <w:p>
      <w:pPr>
        <w:spacing w:line="520" w:lineRule="exact"/>
        <w:ind w:firstLine="480" w:firstLineChars="200"/>
        <w:rPr>
          <w:sz w:val="24"/>
          <w:highlight w:val="none"/>
        </w:rPr>
      </w:pPr>
      <w:r>
        <w:rPr>
          <w:rFonts w:hint="eastAsia"/>
          <w:sz w:val="24"/>
          <w:highlight w:val="none"/>
        </w:rPr>
        <w:t>1、准备和参加投标活动发生的所有费用自理。</w:t>
      </w:r>
    </w:p>
    <w:p>
      <w:pPr>
        <w:spacing w:line="480" w:lineRule="exact"/>
        <w:ind w:firstLine="480" w:firstLineChars="200"/>
        <w:textAlignment w:val="center"/>
        <w:rPr>
          <w:rFonts w:eastAsia="宋体"/>
          <w:sz w:val="24"/>
          <w:highlight w:val="none"/>
        </w:rPr>
      </w:pPr>
      <w:r>
        <w:rPr>
          <w:rFonts w:hint="eastAsia"/>
          <w:sz w:val="24"/>
          <w:highlight w:val="none"/>
        </w:rPr>
        <w:t>2、</w:t>
      </w:r>
      <w:r>
        <w:rPr>
          <w:rFonts w:hint="eastAsia" w:ascii="宋体" w:hAnsi="宋体"/>
          <w:sz w:val="24"/>
          <w:highlight w:val="none"/>
        </w:rPr>
        <w:t>本项目代理服务费由成交供应商支付，按人民币</w:t>
      </w:r>
      <w:r>
        <w:rPr>
          <w:rFonts w:hint="eastAsia" w:ascii="宋体" w:hAnsi="宋体"/>
          <w:sz w:val="24"/>
          <w:highlight w:val="none"/>
          <w:lang w:val="en-US" w:eastAsia="zh-CN"/>
        </w:rPr>
        <w:t>2000</w:t>
      </w:r>
      <w:r>
        <w:rPr>
          <w:rFonts w:hint="eastAsia" w:ascii="宋体" w:hAnsi="宋体"/>
          <w:sz w:val="24"/>
          <w:highlight w:val="none"/>
        </w:rPr>
        <w:t>元支付</w:t>
      </w:r>
      <w:r>
        <w:rPr>
          <w:rFonts w:hint="eastAsia" w:ascii="宋体" w:hAnsi="宋体"/>
          <w:b/>
          <w:sz w:val="24"/>
          <w:highlight w:val="none"/>
        </w:rPr>
        <w:t>。</w:t>
      </w:r>
    </w:p>
    <w:p>
      <w:pPr>
        <w:pStyle w:val="5"/>
        <w:spacing w:line="520" w:lineRule="exact"/>
        <w:rPr>
          <w:highlight w:val="none"/>
        </w:rPr>
      </w:pPr>
      <w:bookmarkStart w:id="97" w:name="_Toc246996924"/>
      <w:bookmarkStart w:id="98" w:name="_Toc152042312"/>
      <w:bookmarkStart w:id="99" w:name="_Toc144974504"/>
      <w:bookmarkStart w:id="100" w:name="_Toc247085695"/>
      <w:bookmarkStart w:id="101" w:name="_Toc179632553"/>
      <w:bookmarkStart w:id="102" w:name="_Toc152045536"/>
      <w:bookmarkStart w:id="103" w:name="_Toc6675"/>
      <w:bookmarkStart w:id="104" w:name="_Toc13831"/>
      <w:bookmarkStart w:id="105" w:name="_Toc296602426"/>
      <w:bookmarkStart w:id="106" w:name="_Toc246996181"/>
      <w:bookmarkStart w:id="107" w:name="_Toc13276"/>
      <w:r>
        <w:rPr>
          <w:rFonts w:hint="eastAsia"/>
          <w:highlight w:val="none"/>
        </w:rPr>
        <w:t>1.6 保密</w:t>
      </w:r>
      <w:bookmarkEnd w:id="97"/>
      <w:bookmarkEnd w:id="98"/>
      <w:bookmarkEnd w:id="99"/>
      <w:bookmarkEnd w:id="100"/>
      <w:bookmarkEnd w:id="101"/>
      <w:bookmarkEnd w:id="102"/>
      <w:bookmarkEnd w:id="103"/>
      <w:bookmarkEnd w:id="104"/>
      <w:bookmarkEnd w:id="105"/>
      <w:bookmarkEnd w:id="106"/>
      <w:bookmarkEnd w:id="107"/>
    </w:p>
    <w:p>
      <w:pPr>
        <w:spacing w:line="520" w:lineRule="exact"/>
        <w:ind w:firstLine="480" w:firstLineChars="200"/>
        <w:rPr>
          <w:rFonts w:ascii="宋体" w:hAnsi="宋体"/>
          <w:sz w:val="24"/>
          <w:highlight w:val="none"/>
        </w:rPr>
      </w:pPr>
      <w:r>
        <w:rPr>
          <w:rFonts w:hint="eastAsia" w:ascii="宋体" w:hAnsi="宋体"/>
          <w:sz w:val="24"/>
          <w:highlight w:val="none"/>
        </w:rPr>
        <w:t xml:space="preserve">参与招标投标活动的各方应对磋商文件和响应文件中的商业和技术等秘密保密，违者应对由此造成的后果承担法律责任。 </w:t>
      </w:r>
    </w:p>
    <w:p>
      <w:pPr>
        <w:pStyle w:val="5"/>
        <w:spacing w:line="520" w:lineRule="exact"/>
        <w:rPr>
          <w:highlight w:val="none"/>
        </w:rPr>
      </w:pPr>
      <w:bookmarkStart w:id="108" w:name="_Toc144974505"/>
      <w:bookmarkStart w:id="109" w:name="_Toc179632554"/>
      <w:bookmarkStart w:id="110" w:name="_Toc152042313"/>
      <w:bookmarkStart w:id="111" w:name="_Toc28127"/>
      <w:bookmarkStart w:id="112" w:name="_Toc8739"/>
      <w:bookmarkStart w:id="113" w:name="_Toc246996182"/>
      <w:bookmarkStart w:id="114" w:name="_Toc152045537"/>
      <w:bookmarkStart w:id="115" w:name="_Toc296602427"/>
      <w:bookmarkStart w:id="116" w:name="_Toc8456"/>
      <w:bookmarkStart w:id="117" w:name="_Toc246996925"/>
      <w:bookmarkStart w:id="118" w:name="_Toc247085696"/>
      <w:r>
        <w:rPr>
          <w:rFonts w:hint="eastAsia"/>
          <w:highlight w:val="none"/>
        </w:rPr>
        <w:t>1.7 语言</w:t>
      </w:r>
      <w:bookmarkEnd w:id="108"/>
      <w:r>
        <w:rPr>
          <w:rFonts w:hint="eastAsia"/>
          <w:highlight w:val="none"/>
        </w:rPr>
        <w:t>文字</w:t>
      </w:r>
      <w:bookmarkEnd w:id="109"/>
      <w:bookmarkEnd w:id="110"/>
      <w:bookmarkEnd w:id="111"/>
      <w:bookmarkEnd w:id="112"/>
      <w:bookmarkEnd w:id="113"/>
      <w:bookmarkEnd w:id="114"/>
      <w:bookmarkEnd w:id="115"/>
      <w:bookmarkEnd w:id="116"/>
      <w:bookmarkEnd w:id="117"/>
      <w:bookmarkEnd w:id="118"/>
    </w:p>
    <w:p>
      <w:pPr>
        <w:spacing w:line="520" w:lineRule="exact"/>
        <w:ind w:firstLine="480" w:firstLineChars="200"/>
        <w:rPr>
          <w:rFonts w:ascii="宋体" w:hAnsi="宋体"/>
          <w:sz w:val="24"/>
          <w:highlight w:val="none"/>
        </w:rPr>
      </w:pPr>
      <w:bookmarkStart w:id="119" w:name="_Toc152045538"/>
      <w:bookmarkStart w:id="120" w:name="_Toc144974506"/>
      <w:bookmarkStart w:id="121" w:name="_Toc247085697"/>
      <w:bookmarkStart w:id="122" w:name="_Toc246996926"/>
      <w:bookmarkStart w:id="123" w:name="_Toc246996183"/>
      <w:bookmarkStart w:id="124" w:name="_Toc152042314"/>
      <w:bookmarkStart w:id="125" w:name="_Toc179632555"/>
      <w:r>
        <w:rPr>
          <w:rFonts w:hint="eastAsia" w:ascii="宋体" w:hAnsi="宋体"/>
          <w:sz w:val="24"/>
          <w:highlight w:val="none"/>
        </w:rPr>
        <w:t>招标响应文件使用的语言文字为中文。专用术语使用外文的，应附有中文注释。</w:t>
      </w:r>
    </w:p>
    <w:p>
      <w:pPr>
        <w:pStyle w:val="5"/>
        <w:spacing w:line="520" w:lineRule="exact"/>
        <w:rPr>
          <w:highlight w:val="none"/>
        </w:rPr>
      </w:pPr>
      <w:bookmarkStart w:id="126" w:name="_Toc20009"/>
      <w:bookmarkStart w:id="127" w:name="_Toc24767"/>
      <w:bookmarkStart w:id="128" w:name="_Toc296602428"/>
      <w:bookmarkStart w:id="129" w:name="_Toc26931"/>
      <w:r>
        <w:rPr>
          <w:rFonts w:hint="eastAsia"/>
          <w:highlight w:val="none"/>
        </w:rPr>
        <w:t>1.8 计量单位</w:t>
      </w:r>
      <w:bookmarkEnd w:id="119"/>
      <w:bookmarkEnd w:id="120"/>
      <w:bookmarkEnd w:id="121"/>
      <w:bookmarkEnd w:id="122"/>
      <w:bookmarkEnd w:id="123"/>
      <w:bookmarkEnd w:id="124"/>
      <w:bookmarkEnd w:id="125"/>
      <w:bookmarkEnd w:id="126"/>
      <w:bookmarkEnd w:id="127"/>
      <w:bookmarkEnd w:id="128"/>
      <w:bookmarkEnd w:id="129"/>
    </w:p>
    <w:p>
      <w:pPr>
        <w:spacing w:line="520" w:lineRule="exact"/>
        <w:ind w:firstLine="480" w:firstLineChars="200"/>
        <w:rPr>
          <w:sz w:val="28"/>
          <w:szCs w:val="28"/>
          <w:highlight w:val="none"/>
        </w:rPr>
      </w:pPr>
      <w:r>
        <w:rPr>
          <w:rFonts w:hint="eastAsia" w:ascii="宋体" w:hAnsi="宋体"/>
          <w:sz w:val="24"/>
          <w:highlight w:val="none"/>
        </w:rPr>
        <w:t>所有计量均采用中华人民共和国法定计量单位。</w:t>
      </w:r>
    </w:p>
    <w:p>
      <w:pPr>
        <w:pStyle w:val="5"/>
        <w:spacing w:line="520" w:lineRule="exact"/>
        <w:rPr>
          <w:highlight w:val="none"/>
        </w:rPr>
      </w:pPr>
      <w:bookmarkStart w:id="130" w:name="_Toc296602429"/>
      <w:bookmarkStart w:id="131" w:name="_Toc2966"/>
      <w:bookmarkStart w:id="132" w:name="_Toc144974507"/>
      <w:bookmarkStart w:id="133" w:name="_Toc247513962"/>
      <w:bookmarkStart w:id="134" w:name="_Toc247527563"/>
      <w:bookmarkStart w:id="135" w:name="_Toc6777"/>
      <w:bookmarkStart w:id="136" w:name="_Toc247592876"/>
      <w:bookmarkStart w:id="137" w:name="_Toc152042315"/>
      <w:bookmarkStart w:id="138" w:name="_Toc152045539"/>
      <w:bookmarkStart w:id="139" w:name="_Toc7418"/>
      <w:r>
        <w:rPr>
          <w:rFonts w:hint="eastAsia"/>
          <w:highlight w:val="none"/>
        </w:rPr>
        <w:t>1.9 踏勘现场</w:t>
      </w:r>
      <w:bookmarkEnd w:id="130"/>
      <w:bookmarkEnd w:id="131"/>
      <w:bookmarkEnd w:id="132"/>
      <w:bookmarkEnd w:id="133"/>
      <w:bookmarkEnd w:id="134"/>
      <w:bookmarkEnd w:id="135"/>
      <w:bookmarkEnd w:id="136"/>
      <w:bookmarkEnd w:id="137"/>
      <w:bookmarkEnd w:id="138"/>
      <w:bookmarkEnd w:id="139"/>
    </w:p>
    <w:p>
      <w:pPr>
        <w:spacing w:line="520" w:lineRule="exact"/>
        <w:ind w:firstLine="480" w:firstLineChars="200"/>
        <w:rPr>
          <w:rFonts w:ascii="宋体" w:hAnsi="宋体"/>
          <w:sz w:val="24"/>
          <w:highlight w:val="none"/>
        </w:rPr>
      </w:pPr>
      <w:r>
        <w:rPr>
          <w:rFonts w:hint="eastAsia" w:ascii="宋体" w:hAnsi="宋体"/>
          <w:sz w:val="24"/>
          <w:highlight w:val="none"/>
        </w:rPr>
        <w:t>1.9.1不统一组织</w:t>
      </w:r>
    </w:p>
    <w:p>
      <w:pPr>
        <w:spacing w:line="520" w:lineRule="exact"/>
        <w:ind w:firstLine="480" w:firstLineChars="200"/>
        <w:rPr>
          <w:rFonts w:ascii="宋体" w:hAnsi="宋体"/>
          <w:sz w:val="24"/>
          <w:highlight w:val="none"/>
        </w:rPr>
      </w:pPr>
      <w:r>
        <w:rPr>
          <w:rFonts w:hint="eastAsia" w:ascii="宋体" w:hAnsi="宋体"/>
          <w:sz w:val="24"/>
          <w:highlight w:val="none"/>
        </w:rPr>
        <w:t>1.9.2 踏勘现场发生的费用自理。</w:t>
      </w:r>
    </w:p>
    <w:p>
      <w:pPr>
        <w:spacing w:line="520" w:lineRule="exact"/>
        <w:ind w:firstLine="480" w:firstLineChars="200"/>
        <w:rPr>
          <w:rFonts w:ascii="宋体" w:hAnsi="宋体"/>
          <w:sz w:val="24"/>
          <w:highlight w:val="none"/>
        </w:rPr>
      </w:pPr>
      <w:r>
        <w:rPr>
          <w:rFonts w:hint="eastAsia" w:ascii="宋体" w:hAnsi="宋体"/>
          <w:sz w:val="24"/>
          <w:highlight w:val="none"/>
        </w:rPr>
        <w:t>1.9.3 除采购人的原因外，自行负责在踏勘现场中所发生的人员伤亡和财产损失。</w:t>
      </w:r>
    </w:p>
    <w:p>
      <w:pPr>
        <w:spacing w:line="520" w:lineRule="exact"/>
        <w:ind w:firstLine="480" w:firstLineChars="200"/>
        <w:rPr>
          <w:rFonts w:ascii="宋体" w:hAnsi="宋体"/>
          <w:sz w:val="24"/>
          <w:highlight w:val="none"/>
        </w:rPr>
      </w:pPr>
      <w:r>
        <w:rPr>
          <w:rFonts w:hint="eastAsia" w:ascii="宋体" w:hAnsi="宋体"/>
          <w:sz w:val="24"/>
          <w:highlight w:val="none"/>
        </w:rPr>
        <w:t>1.9.4 采购人在踏勘现场中介绍的工程场地和相关的周边环境情况，在编制响应文件时参考，采购人不对据此作出的判断和决策负责。</w:t>
      </w:r>
    </w:p>
    <w:p>
      <w:pPr>
        <w:pStyle w:val="5"/>
        <w:spacing w:line="520" w:lineRule="exact"/>
        <w:rPr>
          <w:highlight w:val="none"/>
        </w:rPr>
      </w:pPr>
      <w:bookmarkStart w:id="140" w:name="_Toc12942"/>
      <w:bookmarkStart w:id="141" w:name="_Toc152042316"/>
      <w:bookmarkStart w:id="142" w:name="_Toc247592877"/>
      <w:bookmarkStart w:id="143" w:name="_Toc8208"/>
      <w:bookmarkStart w:id="144" w:name="_Toc3599"/>
      <w:bookmarkStart w:id="145" w:name="_Toc152045540"/>
      <w:bookmarkStart w:id="146" w:name="_Toc247527564"/>
      <w:bookmarkStart w:id="147" w:name="_Toc144974508"/>
      <w:bookmarkStart w:id="148" w:name="_Toc296602430"/>
      <w:bookmarkStart w:id="149" w:name="_Toc247513963"/>
      <w:r>
        <w:rPr>
          <w:rFonts w:hint="eastAsia"/>
          <w:highlight w:val="none"/>
        </w:rPr>
        <w:t>1.10 投标预备会</w:t>
      </w:r>
      <w:bookmarkEnd w:id="140"/>
      <w:bookmarkEnd w:id="141"/>
      <w:bookmarkEnd w:id="142"/>
      <w:bookmarkEnd w:id="143"/>
      <w:bookmarkEnd w:id="144"/>
      <w:bookmarkEnd w:id="145"/>
      <w:bookmarkEnd w:id="146"/>
      <w:bookmarkEnd w:id="147"/>
      <w:bookmarkEnd w:id="148"/>
      <w:bookmarkEnd w:id="149"/>
    </w:p>
    <w:p>
      <w:pPr>
        <w:spacing w:line="520" w:lineRule="exact"/>
        <w:ind w:firstLine="480" w:firstLineChars="200"/>
        <w:rPr>
          <w:rFonts w:ascii="宋体" w:hAnsi="宋体"/>
          <w:sz w:val="28"/>
          <w:szCs w:val="28"/>
          <w:highlight w:val="none"/>
        </w:rPr>
      </w:pPr>
      <w:r>
        <w:rPr>
          <w:rFonts w:hint="eastAsia" w:ascii="宋体" w:hAnsi="宋体"/>
          <w:sz w:val="24"/>
          <w:highlight w:val="none"/>
        </w:rPr>
        <w:t>不召开。</w:t>
      </w:r>
    </w:p>
    <w:p>
      <w:pPr>
        <w:pStyle w:val="5"/>
        <w:spacing w:line="520" w:lineRule="exact"/>
        <w:rPr>
          <w:highlight w:val="none"/>
        </w:rPr>
      </w:pPr>
      <w:bookmarkStart w:id="150" w:name="_Toc31450"/>
      <w:bookmarkStart w:id="151" w:name="_Toc14475"/>
      <w:bookmarkStart w:id="152" w:name="_Toc296602431"/>
      <w:bookmarkStart w:id="153" w:name="_Toc31910"/>
      <w:r>
        <w:rPr>
          <w:rFonts w:hint="eastAsia"/>
          <w:highlight w:val="none"/>
        </w:rPr>
        <w:t>1.11 偏离</w:t>
      </w:r>
      <w:bookmarkEnd w:id="150"/>
      <w:bookmarkEnd w:id="151"/>
      <w:bookmarkEnd w:id="152"/>
      <w:bookmarkEnd w:id="153"/>
    </w:p>
    <w:p>
      <w:pPr>
        <w:spacing w:line="520" w:lineRule="exact"/>
        <w:ind w:firstLine="480" w:firstLineChars="200"/>
        <w:rPr>
          <w:rFonts w:ascii="宋体" w:hAnsi="宋体"/>
          <w:sz w:val="24"/>
          <w:highlight w:val="none"/>
        </w:rPr>
      </w:pPr>
      <w:r>
        <w:rPr>
          <w:rFonts w:hint="eastAsia" w:ascii="宋体" w:hAnsi="宋体"/>
          <w:sz w:val="24"/>
          <w:highlight w:val="none"/>
        </w:rPr>
        <w:t>不允许负偏离。</w:t>
      </w:r>
    </w:p>
    <w:p>
      <w:pPr>
        <w:pStyle w:val="4"/>
        <w:spacing w:line="520" w:lineRule="exact"/>
        <w:rPr>
          <w:highlight w:val="none"/>
        </w:rPr>
      </w:pPr>
      <w:bookmarkStart w:id="154" w:name="_Toc247085701"/>
      <w:bookmarkStart w:id="155" w:name="_Toc22528"/>
      <w:bookmarkStart w:id="156" w:name="_Toc296602432"/>
      <w:bookmarkStart w:id="157" w:name="_Toc179632560"/>
      <w:bookmarkStart w:id="158" w:name="_Toc152042318"/>
      <w:bookmarkStart w:id="159" w:name="_Toc246996930"/>
      <w:bookmarkStart w:id="160" w:name="_Toc144974510"/>
      <w:bookmarkStart w:id="161" w:name="_Toc246996187"/>
      <w:bookmarkStart w:id="162" w:name="_Toc152045542"/>
      <w:bookmarkStart w:id="163" w:name="_Toc1561"/>
      <w:bookmarkStart w:id="164" w:name="_Toc8260"/>
      <w:r>
        <w:rPr>
          <w:rFonts w:hint="eastAsia"/>
          <w:highlight w:val="none"/>
        </w:rPr>
        <w:t>2. 磋商文件</w:t>
      </w:r>
      <w:bookmarkEnd w:id="154"/>
      <w:bookmarkEnd w:id="155"/>
      <w:bookmarkEnd w:id="156"/>
      <w:bookmarkEnd w:id="157"/>
      <w:bookmarkEnd w:id="158"/>
      <w:bookmarkEnd w:id="159"/>
      <w:bookmarkEnd w:id="160"/>
      <w:bookmarkEnd w:id="161"/>
      <w:bookmarkEnd w:id="162"/>
      <w:bookmarkEnd w:id="163"/>
      <w:bookmarkEnd w:id="164"/>
    </w:p>
    <w:p>
      <w:pPr>
        <w:pStyle w:val="5"/>
        <w:spacing w:line="520" w:lineRule="exact"/>
        <w:rPr>
          <w:highlight w:val="none"/>
        </w:rPr>
      </w:pPr>
      <w:bookmarkStart w:id="165" w:name="_Toc247085702"/>
      <w:bookmarkStart w:id="166" w:name="_Toc152042319"/>
      <w:bookmarkStart w:id="167" w:name="_Toc296602433"/>
      <w:bookmarkStart w:id="168" w:name="_Toc179632561"/>
      <w:bookmarkStart w:id="169" w:name="_Toc246996931"/>
      <w:bookmarkStart w:id="170" w:name="_Toc246996188"/>
      <w:bookmarkStart w:id="171" w:name="_Toc144974511"/>
      <w:bookmarkStart w:id="172" w:name="_Toc9169"/>
      <w:bookmarkStart w:id="173" w:name="_Toc152045543"/>
      <w:bookmarkStart w:id="174" w:name="_Toc1811"/>
      <w:bookmarkStart w:id="175" w:name="_Toc21336"/>
      <w:r>
        <w:rPr>
          <w:rFonts w:hint="eastAsia"/>
          <w:highlight w:val="none"/>
        </w:rPr>
        <w:t>2.1 磋商文件的组成</w:t>
      </w:r>
      <w:bookmarkEnd w:id="165"/>
      <w:bookmarkEnd w:id="166"/>
      <w:bookmarkEnd w:id="167"/>
      <w:bookmarkEnd w:id="168"/>
      <w:bookmarkEnd w:id="169"/>
      <w:bookmarkEnd w:id="170"/>
      <w:bookmarkEnd w:id="171"/>
      <w:bookmarkEnd w:id="172"/>
      <w:bookmarkEnd w:id="173"/>
      <w:bookmarkEnd w:id="174"/>
      <w:bookmarkEnd w:id="175"/>
    </w:p>
    <w:p>
      <w:pPr>
        <w:spacing w:line="520" w:lineRule="exact"/>
        <w:ind w:firstLine="480" w:firstLineChars="200"/>
        <w:rPr>
          <w:rFonts w:ascii="宋体" w:hAnsi="宋体"/>
          <w:sz w:val="24"/>
          <w:highlight w:val="none"/>
        </w:rPr>
      </w:pPr>
      <w:r>
        <w:rPr>
          <w:rFonts w:hint="eastAsia" w:ascii="宋体" w:hAnsi="宋体"/>
          <w:sz w:val="24"/>
          <w:highlight w:val="none"/>
        </w:rPr>
        <w:t xml:space="preserve"> 2.1.1 本磋商文件包括：</w:t>
      </w:r>
    </w:p>
    <w:p>
      <w:pPr>
        <w:spacing w:line="520" w:lineRule="exact"/>
        <w:ind w:firstLine="480" w:firstLineChars="200"/>
        <w:rPr>
          <w:rFonts w:ascii="宋体" w:hAnsi="宋体"/>
          <w:sz w:val="24"/>
          <w:highlight w:val="none"/>
        </w:rPr>
      </w:pPr>
      <w:r>
        <w:rPr>
          <w:rFonts w:hint="eastAsia" w:ascii="宋体" w:hAnsi="宋体"/>
          <w:sz w:val="24"/>
          <w:highlight w:val="none"/>
        </w:rPr>
        <w:t>（1）竞争性磋商公告；</w:t>
      </w:r>
    </w:p>
    <w:p>
      <w:pPr>
        <w:spacing w:line="520" w:lineRule="exact"/>
        <w:ind w:firstLine="480" w:firstLineChars="200"/>
        <w:rPr>
          <w:rFonts w:ascii="宋体" w:hAnsi="宋体"/>
          <w:sz w:val="24"/>
          <w:highlight w:val="none"/>
        </w:rPr>
      </w:pPr>
      <w:r>
        <w:rPr>
          <w:rFonts w:hint="eastAsia" w:ascii="宋体" w:hAnsi="宋体"/>
          <w:sz w:val="24"/>
          <w:highlight w:val="none"/>
        </w:rPr>
        <w:t>（2）供应商须知；</w:t>
      </w:r>
    </w:p>
    <w:p>
      <w:pPr>
        <w:spacing w:line="520" w:lineRule="exact"/>
        <w:ind w:firstLine="480" w:firstLineChars="200"/>
        <w:rPr>
          <w:rFonts w:ascii="宋体" w:hAnsi="宋体"/>
          <w:sz w:val="24"/>
          <w:highlight w:val="none"/>
        </w:rPr>
      </w:pPr>
      <w:r>
        <w:rPr>
          <w:rFonts w:hint="eastAsia" w:ascii="宋体" w:hAnsi="宋体"/>
          <w:sz w:val="24"/>
          <w:highlight w:val="none"/>
        </w:rPr>
        <w:t>（3）评标办法；</w:t>
      </w:r>
    </w:p>
    <w:p>
      <w:pPr>
        <w:spacing w:line="520" w:lineRule="exact"/>
        <w:ind w:firstLine="480" w:firstLineChars="200"/>
        <w:rPr>
          <w:rFonts w:ascii="宋体" w:hAnsi="宋体"/>
          <w:sz w:val="24"/>
          <w:highlight w:val="none"/>
        </w:rPr>
      </w:pPr>
      <w:r>
        <w:rPr>
          <w:rFonts w:hint="eastAsia" w:ascii="宋体" w:hAnsi="宋体"/>
          <w:sz w:val="24"/>
          <w:highlight w:val="none"/>
        </w:rPr>
        <w:t>（4）合同条款及格式；</w:t>
      </w:r>
    </w:p>
    <w:p>
      <w:pPr>
        <w:spacing w:line="520" w:lineRule="exact"/>
        <w:ind w:firstLine="480" w:firstLineChars="200"/>
        <w:rPr>
          <w:rFonts w:ascii="宋体" w:hAnsi="宋体"/>
          <w:sz w:val="24"/>
          <w:highlight w:val="none"/>
        </w:rPr>
      </w:pPr>
      <w:r>
        <w:rPr>
          <w:rFonts w:hint="eastAsia" w:ascii="宋体" w:hAnsi="宋体"/>
          <w:sz w:val="24"/>
          <w:highlight w:val="none"/>
        </w:rPr>
        <w:t>（5）技术标准和要求；</w:t>
      </w:r>
    </w:p>
    <w:p>
      <w:pPr>
        <w:spacing w:line="520" w:lineRule="exact"/>
        <w:ind w:firstLine="480" w:firstLineChars="200"/>
        <w:rPr>
          <w:rFonts w:ascii="宋体" w:hAnsi="宋体"/>
          <w:sz w:val="24"/>
          <w:highlight w:val="none"/>
        </w:rPr>
      </w:pPr>
      <w:r>
        <w:rPr>
          <w:rFonts w:hint="eastAsia" w:ascii="宋体" w:hAnsi="宋体"/>
          <w:sz w:val="24"/>
          <w:highlight w:val="none"/>
        </w:rPr>
        <w:t xml:space="preserve">（6）响应文件格式； </w:t>
      </w:r>
    </w:p>
    <w:p>
      <w:pPr>
        <w:spacing w:line="520" w:lineRule="exact"/>
        <w:ind w:firstLine="480" w:firstLineChars="200"/>
        <w:rPr>
          <w:rFonts w:ascii="宋体" w:hAnsi="宋体"/>
          <w:sz w:val="24"/>
          <w:highlight w:val="none"/>
        </w:rPr>
      </w:pPr>
      <w:r>
        <w:rPr>
          <w:rFonts w:hint="eastAsia" w:ascii="宋体" w:hAnsi="宋体"/>
          <w:sz w:val="24"/>
          <w:highlight w:val="none"/>
        </w:rPr>
        <w:t>（8）须知前附表规定的其他材料。</w:t>
      </w:r>
    </w:p>
    <w:p>
      <w:pPr>
        <w:spacing w:line="520" w:lineRule="exact"/>
        <w:ind w:firstLine="480" w:firstLineChars="200"/>
        <w:rPr>
          <w:rFonts w:ascii="宋体" w:hAnsi="宋体"/>
          <w:sz w:val="24"/>
          <w:highlight w:val="none"/>
        </w:rPr>
      </w:pPr>
      <w:r>
        <w:rPr>
          <w:rFonts w:hint="eastAsia" w:ascii="宋体" w:hAnsi="宋体"/>
          <w:sz w:val="24"/>
          <w:highlight w:val="none"/>
        </w:rPr>
        <w:t>2.1.2磋商文件的澄清、修改，构成磋商文件的组成部分。</w:t>
      </w:r>
    </w:p>
    <w:p>
      <w:pPr>
        <w:pStyle w:val="5"/>
        <w:spacing w:line="520" w:lineRule="exact"/>
        <w:rPr>
          <w:highlight w:val="none"/>
        </w:rPr>
      </w:pPr>
      <w:bookmarkStart w:id="176" w:name="_Toc23572"/>
      <w:bookmarkStart w:id="177" w:name="_Toc152045544"/>
      <w:bookmarkStart w:id="178" w:name="_Toc247085703"/>
      <w:bookmarkStart w:id="179" w:name="_Toc152042320"/>
      <w:bookmarkStart w:id="180" w:name="_Toc144974512"/>
      <w:bookmarkStart w:id="181" w:name="_Toc14632"/>
      <w:bookmarkStart w:id="182" w:name="_Toc296602434"/>
      <w:bookmarkStart w:id="183" w:name="_Toc246996189"/>
      <w:bookmarkStart w:id="184" w:name="_Toc2226"/>
      <w:bookmarkStart w:id="185" w:name="_Toc179632562"/>
      <w:bookmarkStart w:id="186" w:name="_Toc246996932"/>
      <w:r>
        <w:rPr>
          <w:rFonts w:hint="eastAsia"/>
          <w:highlight w:val="none"/>
        </w:rPr>
        <w:t>2.2 磋商文件的澄清</w:t>
      </w:r>
      <w:bookmarkEnd w:id="176"/>
      <w:bookmarkEnd w:id="177"/>
      <w:bookmarkEnd w:id="178"/>
      <w:bookmarkEnd w:id="179"/>
      <w:bookmarkEnd w:id="180"/>
      <w:bookmarkEnd w:id="181"/>
      <w:bookmarkEnd w:id="182"/>
      <w:bookmarkEnd w:id="183"/>
      <w:bookmarkEnd w:id="184"/>
      <w:bookmarkEnd w:id="185"/>
      <w:bookmarkEnd w:id="186"/>
      <w:r>
        <w:rPr>
          <w:rFonts w:hint="eastAsia"/>
          <w:highlight w:val="none"/>
        </w:rPr>
        <w:t xml:space="preserve"> </w:t>
      </w:r>
    </w:p>
    <w:p>
      <w:pPr>
        <w:spacing w:line="520" w:lineRule="exact"/>
        <w:ind w:firstLine="480" w:firstLineChars="200"/>
        <w:rPr>
          <w:rFonts w:ascii="宋体" w:hAnsi="宋体"/>
          <w:sz w:val="24"/>
          <w:highlight w:val="none"/>
        </w:rPr>
      </w:pPr>
      <w:r>
        <w:rPr>
          <w:rFonts w:hint="eastAsia" w:ascii="宋体" w:hAnsi="宋体"/>
          <w:sz w:val="24"/>
          <w:highlight w:val="none"/>
        </w:rPr>
        <w:t>2.2.1 应仔细阅读和检查磋商文件的全部内容。如发现缺页或附件不全，应及时向采购人提出，以便补齐。如有疑问，应在须知前附表规定的时间前以书面形式（包括信函、电报、传真等可以有形地表现所载内容的形式，下同），要求采购人对磋商文件予以澄清。</w:t>
      </w:r>
    </w:p>
    <w:p>
      <w:pPr>
        <w:spacing w:line="520" w:lineRule="exact"/>
        <w:ind w:firstLine="480" w:firstLineChars="200"/>
        <w:rPr>
          <w:rFonts w:ascii="宋体" w:hAnsi="宋体"/>
          <w:sz w:val="24"/>
          <w:highlight w:val="none"/>
        </w:rPr>
      </w:pPr>
      <w:r>
        <w:rPr>
          <w:rFonts w:hint="eastAsia" w:ascii="宋体" w:hAnsi="宋体"/>
          <w:sz w:val="24"/>
          <w:highlight w:val="none"/>
        </w:rPr>
        <w:t xml:space="preserve">2.2.2 磋商文件的澄清将以书面形式发给所有购买磋商文件的，但不指明澄清问题的来源。如果澄清发出的时间距须知前附表规定的投标截止时间不足5日，并且澄清内容影响响应文件编制的，将相应延长投标截止时间。 </w:t>
      </w:r>
    </w:p>
    <w:p>
      <w:pPr>
        <w:spacing w:line="520" w:lineRule="exact"/>
        <w:ind w:firstLine="480" w:firstLineChars="200"/>
        <w:rPr>
          <w:rFonts w:ascii="宋体" w:hAnsi="宋体"/>
          <w:sz w:val="24"/>
          <w:highlight w:val="none"/>
        </w:rPr>
      </w:pPr>
      <w:r>
        <w:rPr>
          <w:rFonts w:hint="eastAsia" w:ascii="宋体" w:hAnsi="宋体"/>
          <w:sz w:val="24"/>
          <w:highlight w:val="none"/>
        </w:rPr>
        <w:t>2.2.3 在收到澄清后，应在须知前附表规定的时间内以书面形式通知采购人，确认已收到该澄清。</w:t>
      </w:r>
    </w:p>
    <w:p>
      <w:pPr>
        <w:pStyle w:val="5"/>
        <w:spacing w:line="520" w:lineRule="exact"/>
        <w:rPr>
          <w:highlight w:val="none"/>
        </w:rPr>
      </w:pPr>
      <w:bookmarkStart w:id="187" w:name="_Toc246996190"/>
      <w:bookmarkStart w:id="188" w:name="_Toc246996933"/>
      <w:bookmarkStart w:id="189" w:name="_Toc27750"/>
      <w:bookmarkStart w:id="190" w:name="_Toc7408"/>
      <w:bookmarkStart w:id="191" w:name="_Toc152045545"/>
      <w:bookmarkStart w:id="192" w:name="_Toc30758"/>
      <w:bookmarkStart w:id="193" w:name="_Toc179632563"/>
      <w:bookmarkStart w:id="194" w:name="_Toc247085704"/>
      <w:bookmarkStart w:id="195" w:name="_Toc144974513"/>
      <w:bookmarkStart w:id="196" w:name="_Toc152042321"/>
      <w:bookmarkStart w:id="197" w:name="_Toc296602435"/>
      <w:r>
        <w:rPr>
          <w:rFonts w:hint="eastAsia"/>
          <w:highlight w:val="none"/>
        </w:rPr>
        <w:t>2.3 磋商文件的修改</w:t>
      </w:r>
      <w:bookmarkEnd w:id="187"/>
      <w:bookmarkEnd w:id="188"/>
      <w:bookmarkEnd w:id="189"/>
      <w:bookmarkEnd w:id="190"/>
      <w:bookmarkEnd w:id="191"/>
      <w:bookmarkEnd w:id="192"/>
      <w:bookmarkEnd w:id="193"/>
      <w:bookmarkEnd w:id="194"/>
      <w:bookmarkEnd w:id="195"/>
      <w:bookmarkEnd w:id="196"/>
      <w:bookmarkEnd w:id="197"/>
    </w:p>
    <w:p>
      <w:pPr>
        <w:spacing w:line="520" w:lineRule="exact"/>
        <w:ind w:firstLine="480" w:firstLineChars="200"/>
        <w:rPr>
          <w:rFonts w:ascii="宋体" w:hAnsi="宋体"/>
          <w:sz w:val="24"/>
          <w:highlight w:val="none"/>
        </w:rPr>
      </w:pPr>
      <w:r>
        <w:rPr>
          <w:rFonts w:hint="eastAsia" w:ascii="宋体" w:hAnsi="宋体"/>
          <w:sz w:val="24"/>
          <w:highlight w:val="none"/>
        </w:rPr>
        <w:t>2.3.1采购人可以书面形式修改磋商文件，并通知所有已购买磋商文件的。但如果修改磋商文件的时间距投标截止时间不足5日，并且修改内容影响响应文件编制的，将相应延长投标截止时间。</w:t>
      </w:r>
    </w:p>
    <w:p>
      <w:pPr>
        <w:spacing w:line="520" w:lineRule="exact"/>
        <w:ind w:firstLine="480" w:firstLineChars="200"/>
        <w:rPr>
          <w:rFonts w:ascii="宋体" w:hAnsi="宋体"/>
          <w:sz w:val="24"/>
          <w:highlight w:val="none"/>
        </w:rPr>
      </w:pPr>
      <w:r>
        <w:rPr>
          <w:rFonts w:hint="eastAsia" w:ascii="宋体" w:hAnsi="宋体"/>
          <w:sz w:val="24"/>
          <w:highlight w:val="none"/>
        </w:rPr>
        <w:t>2.3.2 收到修改内容后，应在须知前附表规定的时间内以书面形式通知采购人，确认已收到该修改。</w:t>
      </w:r>
    </w:p>
    <w:p>
      <w:pPr>
        <w:pStyle w:val="4"/>
        <w:spacing w:line="520" w:lineRule="exact"/>
        <w:rPr>
          <w:highlight w:val="none"/>
        </w:rPr>
      </w:pPr>
      <w:bookmarkStart w:id="198" w:name="_Toc152045546"/>
      <w:bookmarkStart w:id="199" w:name="_Toc7087"/>
      <w:bookmarkStart w:id="200" w:name="_Toc25845"/>
      <w:bookmarkStart w:id="201" w:name="_Toc179632564"/>
      <w:bookmarkStart w:id="202" w:name="_Toc27794"/>
      <w:bookmarkStart w:id="203" w:name="_Toc246996934"/>
      <w:bookmarkStart w:id="204" w:name="_Toc296602436"/>
      <w:bookmarkStart w:id="205" w:name="_Toc144974514"/>
      <w:bookmarkStart w:id="206" w:name="_Toc152042322"/>
      <w:bookmarkStart w:id="207" w:name="_Toc247085705"/>
      <w:bookmarkStart w:id="208" w:name="_Toc246996191"/>
      <w:r>
        <w:rPr>
          <w:rFonts w:hint="eastAsia"/>
          <w:highlight w:val="none"/>
        </w:rPr>
        <w:t xml:space="preserve">3. </w:t>
      </w:r>
      <w:bookmarkEnd w:id="198"/>
      <w:bookmarkEnd w:id="199"/>
      <w:bookmarkEnd w:id="200"/>
      <w:bookmarkEnd w:id="201"/>
      <w:bookmarkEnd w:id="202"/>
      <w:bookmarkEnd w:id="203"/>
      <w:bookmarkEnd w:id="204"/>
      <w:bookmarkEnd w:id="205"/>
      <w:bookmarkEnd w:id="206"/>
      <w:bookmarkEnd w:id="207"/>
      <w:bookmarkEnd w:id="208"/>
      <w:r>
        <w:rPr>
          <w:rFonts w:hint="eastAsia"/>
          <w:highlight w:val="none"/>
        </w:rPr>
        <w:t>响应文件</w:t>
      </w:r>
    </w:p>
    <w:p>
      <w:pPr>
        <w:pStyle w:val="5"/>
        <w:spacing w:line="520" w:lineRule="exact"/>
        <w:rPr>
          <w:highlight w:val="none"/>
        </w:rPr>
      </w:pPr>
      <w:bookmarkStart w:id="209" w:name="_Toc6301"/>
      <w:bookmarkStart w:id="210" w:name="_Toc246996192"/>
      <w:bookmarkStart w:id="211" w:name="_Toc296602437"/>
      <w:bookmarkStart w:id="212" w:name="_Toc152045547"/>
      <w:bookmarkStart w:id="213" w:name="_Toc246996935"/>
      <w:bookmarkStart w:id="214" w:name="_Toc247085706"/>
      <w:bookmarkStart w:id="215" w:name="_Toc16438"/>
      <w:bookmarkStart w:id="216" w:name="_Toc179632565"/>
      <w:bookmarkStart w:id="217" w:name="_Toc152042323"/>
      <w:bookmarkStart w:id="218" w:name="_Toc13076"/>
      <w:bookmarkStart w:id="219" w:name="_Toc144974515"/>
      <w:r>
        <w:rPr>
          <w:rFonts w:hint="eastAsia"/>
          <w:highlight w:val="none"/>
        </w:rPr>
        <w:t>3.1 响应文件的组成</w:t>
      </w:r>
      <w:bookmarkEnd w:id="209"/>
      <w:bookmarkEnd w:id="210"/>
      <w:bookmarkEnd w:id="211"/>
      <w:bookmarkEnd w:id="212"/>
      <w:bookmarkEnd w:id="213"/>
      <w:bookmarkEnd w:id="214"/>
      <w:bookmarkEnd w:id="215"/>
      <w:bookmarkEnd w:id="216"/>
      <w:bookmarkEnd w:id="217"/>
      <w:bookmarkEnd w:id="218"/>
      <w:bookmarkEnd w:id="219"/>
    </w:p>
    <w:p>
      <w:pPr>
        <w:spacing w:line="520" w:lineRule="exact"/>
        <w:ind w:firstLine="480" w:firstLineChars="200"/>
        <w:rPr>
          <w:rFonts w:ascii="宋体" w:hAnsi="宋体"/>
          <w:sz w:val="24"/>
          <w:highlight w:val="none"/>
        </w:rPr>
      </w:pPr>
      <w:r>
        <w:rPr>
          <w:rFonts w:hint="eastAsia" w:ascii="宋体" w:hAnsi="宋体"/>
          <w:sz w:val="24"/>
          <w:highlight w:val="none"/>
        </w:rPr>
        <w:t>供应商必须将响应文件按上述顺序排列装订成册，并在首页编制“响应文件目录”。</w:t>
      </w:r>
    </w:p>
    <w:p>
      <w:pPr>
        <w:spacing w:line="520" w:lineRule="exact"/>
        <w:ind w:firstLine="480" w:firstLineChars="200"/>
        <w:rPr>
          <w:rFonts w:ascii="宋体" w:hAnsi="宋体"/>
          <w:sz w:val="24"/>
          <w:highlight w:val="none"/>
        </w:rPr>
      </w:pPr>
      <w:r>
        <w:rPr>
          <w:rFonts w:hint="eastAsia" w:ascii="宋体" w:hAnsi="宋体"/>
          <w:sz w:val="24"/>
          <w:highlight w:val="none"/>
        </w:rPr>
        <w:t>响应文件应包括下列内容：</w:t>
      </w:r>
    </w:p>
    <w:p>
      <w:pPr>
        <w:pStyle w:val="9"/>
        <w:snapToGrid w:val="0"/>
        <w:spacing w:after="0" w:line="360" w:lineRule="auto"/>
        <w:ind w:left="573"/>
        <w:rPr>
          <w:rFonts w:ascii="宋体" w:hAnsi="宋体"/>
          <w:sz w:val="24"/>
          <w:highlight w:val="none"/>
        </w:rPr>
      </w:pPr>
      <w:bookmarkStart w:id="220" w:name="_Toc152045548"/>
      <w:bookmarkStart w:id="221" w:name="_Toc179632566"/>
      <w:bookmarkStart w:id="222" w:name="_Toc144974516"/>
      <w:bookmarkStart w:id="223" w:name="_Toc296602438"/>
      <w:bookmarkStart w:id="224" w:name="_Toc247085707"/>
      <w:bookmarkStart w:id="225" w:name="_Toc152042324"/>
      <w:bookmarkStart w:id="226" w:name="_Toc246996936"/>
      <w:bookmarkStart w:id="227" w:name="_Toc246996193"/>
      <w:r>
        <w:rPr>
          <w:rFonts w:hint="eastAsia" w:ascii="宋体" w:hAnsi="宋体"/>
          <w:sz w:val="24"/>
          <w:highlight w:val="none"/>
        </w:rPr>
        <w:t>3.1.1 商务</w:t>
      </w:r>
      <w:r>
        <w:rPr>
          <w:rFonts w:hint="eastAsia" w:ascii="宋体" w:hAnsi="宋体"/>
          <w:bCs/>
          <w:sz w:val="24"/>
          <w:highlight w:val="none"/>
        </w:rPr>
        <w:t>文件部分</w:t>
      </w:r>
    </w:p>
    <w:p>
      <w:pPr>
        <w:pStyle w:val="9"/>
        <w:snapToGrid w:val="0"/>
        <w:spacing w:after="0" w:line="360" w:lineRule="auto"/>
        <w:ind w:firstLine="480" w:firstLineChars="200"/>
        <w:rPr>
          <w:rFonts w:ascii="宋体" w:hAnsi="宋体"/>
          <w:sz w:val="24"/>
          <w:highlight w:val="none"/>
        </w:rPr>
      </w:pPr>
      <w:r>
        <w:rPr>
          <w:rFonts w:hint="eastAsia" w:ascii="宋体" w:hAnsi="宋体"/>
          <w:sz w:val="24"/>
          <w:highlight w:val="none"/>
        </w:rPr>
        <w:t>（1）报价一览表（见附件）；</w:t>
      </w:r>
    </w:p>
    <w:p>
      <w:pPr>
        <w:pStyle w:val="9"/>
        <w:numPr>
          <w:ilvl w:val="0"/>
          <w:numId w:val="2"/>
        </w:numPr>
        <w:snapToGrid w:val="0"/>
        <w:spacing w:after="0" w:line="360" w:lineRule="auto"/>
        <w:ind w:firstLine="480" w:firstLineChars="200"/>
        <w:rPr>
          <w:rFonts w:ascii="宋体" w:hAnsi="宋体"/>
          <w:sz w:val="24"/>
          <w:highlight w:val="none"/>
        </w:rPr>
      </w:pPr>
      <w:r>
        <w:rPr>
          <w:rFonts w:hint="eastAsia" w:ascii="宋体" w:hAnsi="宋体"/>
          <w:sz w:val="24"/>
          <w:highlight w:val="none"/>
        </w:rPr>
        <w:t>磋商报价明细表（见附件）；</w:t>
      </w:r>
    </w:p>
    <w:p>
      <w:pPr>
        <w:pStyle w:val="9"/>
        <w:numPr>
          <w:ilvl w:val="0"/>
          <w:numId w:val="2"/>
        </w:numPr>
        <w:snapToGrid w:val="0"/>
        <w:spacing w:after="0" w:line="360" w:lineRule="auto"/>
        <w:ind w:firstLine="480" w:firstLineChars="200"/>
        <w:rPr>
          <w:highlight w:val="none"/>
        </w:rPr>
      </w:pPr>
      <w:r>
        <w:rPr>
          <w:rFonts w:hint="eastAsia" w:ascii="宋体" w:hAnsi="宋体"/>
          <w:sz w:val="24"/>
          <w:highlight w:val="none"/>
        </w:rPr>
        <w:t>法定代表人或授权代理人签署的报价函（见附件）。</w:t>
      </w:r>
    </w:p>
    <w:p>
      <w:pPr>
        <w:pStyle w:val="9"/>
        <w:numPr>
          <w:ilvl w:val="0"/>
          <w:numId w:val="2"/>
        </w:numPr>
        <w:snapToGrid w:val="0"/>
        <w:spacing w:after="0" w:line="360" w:lineRule="auto"/>
        <w:ind w:firstLine="480" w:firstLineChars="200"/>
        <w:rPr>
          <w:highlight w:val="none"/>
        </w:rPr>
      </w:pPr>
      <w:r>
        <w:rPr>
          <w:rFonts w:hint="eastAsia" w:ascii="宋体" w:hAnsi="宋体"/>
          <w:sz w:val="24"/>
          <w:highlight w:val="none"/>
        </w:rPr>
        <w:t>项目管理机构（见附件）；</w:t>
      </w:r>
    </w:p>
    <w:p>
      <w:pPr>
        <w:pStyle w:val="9"/>
        <w:numPr>
          <w:ilvl w:val="0"/>
          <w:numId w:val="2"/>
        </w:numPr>
        <w:snapToGrid w:val="0"/>
        <w:spacing w:after="0" w:line="360" w:lineRule="auto"/>
        <w:ind w:firstLine="480" w:firstLineChars="200"/>
        <w:rPr>
          <w:rFonts w:ascii="宋体" w:hAnsi="宋体"/>
          <w:sz w:val="24"/>
          <w:highlight w:val="none"/>
        </w:rPr>
      </w:pPr>
      <w:r>
        <w:rPr>
          <w:rFonts w:hint="eastAsia" w:ascii="宋体" w:hAnsi="宋体"/>
          <w:sz w:val="24"/>
          <w:highlight w:val="none"/>
        </w:rPr>
        <w:t>近三年（2016年1月1日至今）完成同类业绩一览表（见附件）；</w:t>
      </w:r>
    </w:p>
    <w:p>
      <w:pPr>
        <w:pStyle w:val="9"/>
        <w:numPr>
          <w:ilvl w:val="0"/>
          <w:numId w:val="2"/>
        </w:numPr>
        <w:snapToGrid w:val="0"/>
        <w:spacing w:after="0" w:line="360" w:lineRule="auto"/>
        <w:ind w:firstLine="480" w:firstLineChars="200"/>
        <w:rPr>
          <w:rFonts w:ascii="宋体" w:hAnsi="宋体"/>
          <w:sz w:val="24"/>
          <w:highlight w:val="none"/>
        </w:rPr>
      </w:pPr>
      <w:r>
        <w:rPr>
          <w:rFonts w:hint="eastAsia" w:ascii="宋体" w:hAnsi="宋体"/>
          <w:sz w:val="24"/>
          <w:highlight w:val="none"/>
        </w:rPr>
        <w:t>优惠条款；</w:t>
      </w:r>
    </w:p>
    <w:p>
      <w:pPr>
        <w:pStyle w:val="9"/>
        <w:numPr>
          <w:ilvl w:val="0"/>
          <w:numId w:val="2"/>
        </w:numPr>
        <w:snapToGrid w:val="0"/>
        <w:spacing w:after="0" w:line="360" w:lineRule="auto"/>
        <w:ind w:firstLine="480" w:firstLineChars="200"/>
        <w:rPr>
          <w:rFonts w:ascii="宋体" w:hAnsi="宋体"/>
          <w:sz w:val="24"/>
          <w:highlight w:val="none"/>
        </w:rPr>
      </w:pPr>
      <w:r>
        <w:rPr>
          <w:rFonts w:hint="eastAsia" w:ascii="宋体" w:hAnsi="宋体"/>
          <w:sz w:val="24"/>
          <w:highlight w:val="none"/>
        </w:rPr>
        <w:t>供应商认为需要加以说明的其他内容。</w:t>
      </w:r>
    </w:p>
    <w:p>
      <w:pPr>
        <w:pStyle w:val="9"/>
        <w:snapToGrid w:val="0"/>
        <w:spacing w:after="0" w:line="360" w:lineRule="auto"/>
        <w:ind w:firstLine="588" w:firstLineChars="245"/>
        <w:rPr>
          <w:rFonts w:ascii="宋体" w:hAnsi="宋体"/>
          <w:sz w:val="24"/>
          <w:highlight w:val="none"/>
        </w:rPr>
      </w:pPr>
      <w:r>
        <w:rPr>
          <w:rFonts w:hint="eastAsia" w:ascii="宋体" w:hAnsi="宋体"/>
          <w:sz w:val="24"/>
          <w:highlight w:val="none"/>
        </w:rPr>
        <w:t>3.1.2 技术文件部分</w:t>
      </w:r>
    </w:p>
    <w:p>
      <w:pPr>
        <w:pStyle w:val="9"/>
        <w:snapToGrid w:val="0"/>
        <w:spacing w:after="0" w:line="360" w:lineRule="auto"/>
        <w:ind w:firstLine="470" w:firstLineChars="196"/>
        <w:rPr>
          <w:rFonts w:ascii="宋体" w:hAnsi="宋体"/>
          <w:sz w:val="24"/>
          <w:highlight w:val="none"/>
        </w:rPr>
      </w:pPr>
      <w:bookmarkStart w:id="228" w:name="_Toc15152"/>
      <w:bookmarkStart w:id="229" w:name="_Toc4055"/>
      <w:bookmarkStart w:id="230" w:name="_Toc4100"/>
      <w:r>
        <w:rPr>
          <w:rFonts w:hint="eastAsia" w:ascii="宋体" w:hAnsi="宋体"/>
          <w:sz w:val="24"/>
          <w:highlight w:val="none"/>
        </w:rPr>
        <w:t>（1）设计工作的指导思想及设计质量目标；</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（2）设计项目组织机构及人员安排；</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（3）设计工作进度计划及保证措施；</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（4）设计质量保证体系及质量保证措施；</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（5）设计工作投资控制保证措施；</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（6）组织协调与技术保障方案；</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（7）从事同类工程设计的经验；</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（8）后续服务工作安排及承诺。</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（9）服务要求偏离表（见附件）；</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（15）供应商认为需要加以说明的其他内容。</w:t>
      </w:r>
    </w:p>
    <w:p>
      <w:pPr>
        <w:pStyle w:val="5"/>
        <w:spacing w:line="520" w:lineRule="exact"/>
        <w:rPr>
          <w:highlight w:val="none"/>
        </w:rPr>
      </w:pPr>
      <w:r>
        <w:rPr>
          <w:rFonts w:hint="eastAsia"/>
          <w:highlight w:val="none"/>
        </w:rPr>
        <w:t>3.2报价要求</w:t>
      </w:r>
    </w:p>
    <w:p>
      <w:pPr>
        <w:spacing w:line="520" w:lineRule="exact"/>
        <w:ind w:firstLine="482" w:firstLineChars="200"/>
        <w:rPr>
          <w:rFonts w:ascii="宋体" w:hAnsi="宋体"/>
          <w:b/>
          <w:bCs/>
          <w:sz w:val="24"/>
          <w:highlight w:val="none"/>
        </w:rPr>
      </w:pPr>
      <w:r>
        <w:rPr>
          <w:rFonts w:hint="eastAsia" w:ascii="宋体" w:hAnsi="宋体"/>
          <w:b/>
          <w:bCs/>
          <w:sz w:val="24"/>
          <w:highlight w:val="none"/>
        </w:rPr>
        <w:t>3.2.1包含效果图、施工图、工程量清单及控制价、设计资料费、设计变更费（含投资额的增减）、施工过程设计协调指导费、人工费、设备费、管理费、利润、税金费等所有费用，并包括各项费用和价格的涨价风险等，以及磋商文件明示或暗示的所有责任、义务和不可抗力以外的一切风险（设计费不因投资额的增减调整）。成交后不允许擅自改变服务内容、质量标准、期限等。</w:t>
      </w:r>
    </w:p>
    <w:p>
      <w:pPr>
        <w:spacing w:line="520" w:lineRule="exact"/>
        <w:ind w:firstLine="482" w:firstLineChars="200"/>
        <w:rPr>
          <w:rFonts w:ascii="宋体" w:hAnsi="宋体"/>
          <w:b/>
          <w:bCs/>
          <w:sz w:val="24"/>
          <w:highlight w:val="none"/>
        </w:rPr>
      </w:pPr>
      <w:r>
        <w:rPr>
          <w:rFonts w:hint="eastAsia" w:ascii="宋体" w:hAnsi="宋体"/>
          <w:b/>
          <w:bCs/>
          <w:sz w:val="24"/>
          <w:highlight w:val="none"/>
        </w:rPr>
        <w:t>由各投标商结合市场行情、自身情况、项目复杂程度进行自主报价。</w:t>
      </w:r>
    </w:p>
    <w:p>
      <w:pPr>
        <w:spacing w:line="520" w:lineRule="exact"/>
        <w:ind w:firstLine="480" w:firstLineChars="200"/>
        <w:rPr>
          <w:rFonts w:ascii="宋体" w:hAnsi="宋体"/>
          <w:sz w:val="24"/>
          <w:highlight w:val="none"/>
        </w:rPr>
      </w:pPr>
      <w:r>
        <w:rPr>
          <w:rFonts w:hint="eastAsia" w:ascii="宋体" w:hAnsi="宋体"/>
          <w:sz w:val="24"/>
          <w:highlight w:val="none"/>
        </w:rPr>
        <w:t>3.2.2报价币种为人民币；</w:t>
      </w:r>
    </w:p>
    <w:p>
      <w:pPr>
        <w:spacing w:line="520" w:lineRule="exact"/>
        <w:ind w:firstLine="480" w:firstLineChars="200"/>
        <w:rPr>
          <w:rFonts w:ascii="宋体" w:hAnsi="宋体"/>
          <w:b/>
          <w:bCs/>
          <w:sz w:val="24"/>
          <w:highlight w:val="none"/>
        </w:rPr>
      </w:pPr>
      <w:r>
        <w:rPr>
          <w:rFonts w:hint="eastAsia" w:ascii="宋体" w:hAnsi="宋体"/>
          <w:sz w:val="24"/>
          <w:highlight w:val="none"/>
        </w:rPr>
        <w:t>3.2.3本次竞争性磋商将有再次报价的机会（最多不超过二次），每次报价均应书面确认；最终报价将作为计算报价得分的依据；</w:t>
      </w:r>
      <w:r>
        <w:rPr>
          <w:rFonts w:hint="eastAsia" w:ascii="宋体" w:hAnsi="宋体"/>
          <w:b/>
          <w:bCs/>
          <w:sz w:val="24"/>
          <w:highlight w:val="none"/>
        </w:rPr>
        <w:t>（每次报价均不得超过本项目采购预算，且后一次报价不得高于前一次报价）；</w:t>
      </w:r>
    </w:p>
    <w:p>
      <w:pPr>
        <w:spacing w:line="520" w:lineRule="exact"/>
        <w:ind w:firstLine="480" w:firstLineChars="200"/>
        <w:rPr>
          <w:rFonts w:ascii="宋体" w:hAnsi="宋体"/>
          <w:sz w:val="24"/>
          <w:highlight w:val="none"/>
        </w:rPr>
      </w:pPr>
      <w:r>
        <w:rPr>
          <w:rFonts w:hint="eastAsia" w:ascii="宋体" w:hAnsi="宋体"/>
          <w:sz w:val="24"/>
          <w:highlight w:val="none"/>
        </w:rPr>
        <w:t>3.2.4单独密封的报价一览表与报价文件正本不符，以公开唱价的报价一览表 为准；如果大写的金额和小写的金额不一致时，以大写的金额为准；供应商须提供分部分项综合单价和报价总价，如果单价和总价不符，以单价为准，但单价金额小数点有明显错误的除外；</w:t>
      </w:r>
    </w:p>
    <w:p>
      <w:pPr>
        <w:pStyle w:val="5"/>
        <w:spacing w:line="520" w:lineRule="exact"/>
        <w:rPr>
          <w:rFonts w:ascii="宋体" w:hAnsi="宋体"/>
          <w:sz w:val="21"/>
          <w:szCs w:val="21"/>
          <w:highlight w:val="none"/>
        </w:rPr>
      </w:pPr>
      <w:r>
        <w:rPr>
          <w:rFonts w:hint="eastAsia"/>
          <w:highlight w:val="none"/>
        </w:rPr>
        <w:t>3.3 投标</w:t>
      </w:r>
      <w:bookmarkEnd w:id="220"/>
      <w:bookmarkEnd w:id="221"/>
      <w:bookmarkEnd w:id="222"/>
      <w:bookmarkEnd w:id="223"/>
      <w:bookmarkEnd w:id="224"/>
      <w:bookmarkEnd w:id="225"/>
      <w:bookmarkEnd w:id="226"/>
      <w:bookmarkEnd w:id="227"/>
      <w:bookmarkEnd w:id="228"/>
      <w:bookmarkEnd w:id="229"/>
      <w:bookmarkEnd w:id="230"/>
      <w:r>
        <w:rPr>
          <w:rFonts w:hint="eastAsia"/>
          <w:highlight w:val="none"/>
        </w:rPr>
        <w:t>费用</w:t>
      </w:r>
    </w:p>
    <w:p>
      <w:pPr>
        <w:pStyle w:val="5"/>
        <w:spacing w:line="520" w:lineRule="exact"/>
        <w:rPr>
          <w:b w:val="0"/>
          <w:bCs w:val="0"/>
          <w:sz w:val="24"/>
          <w:szCs w:val="24"/>
          <w:highlight w:val="none"/>
        </w:rPr>
      </w:pPr>
      <w:bookmarkStart w:id="231" w:name="_Toc11318"/>
      <w:bookmarkStart w:id="232" w:name="_Toc152042325"/>
      <w:bookmarkStart w:id="233" w:name="_Toc144974517"/>
      <w:bookmarkStart w:id="234" w:name="_Toc246996937"/>
      <w:bookmarkStart w:id="235" w:name="_Toc179632567"/>
      <w:bookmarkStart w:id="236" w:name="_Toc31527"/>
      <w:bookmarkStart w:id="237" w:name="_Toc246996194"/>
      <w:bookmarkStart w:id="238" w:name="_Toc4653"/>
      <w:bookmarkStart w:id="239" w:name="_Toc152045549"/>
      <w:bookmarkStart w:id="240" w:name="_Toc296602439"/>
      <w:bookmarkStart w:id="241" w:name="_Toc247085708"/>
      <w:r>
        <w:rPr>
          <w:rFonts w:hint="eastAsia"/>
          <w:b w:val="0"/>
          <w:bCs w:val="0"/>
          <w:sz w:val="24"/>
          <w:szCs w:val="24"/>
          <w:highlight w:val="none"/>
        </w:rPr>
        <w:t>无论投标过程中的方法和结果如何，供应商自行承担所有与参加投标有关的费用。</w:t>
      </w:r>
    </w:p>
    <w:p>
      <w:pPr>
        <w:pStyle w:val="5"/>
        <w:spacing w:line="520" w:lineRule="exact"/>
        <w:rPr>
          <w:highlight w:val="none"/>
        </w:rPr>
      </w:pPr>
      <w:r>
        <w:rPr>
          <w:rFonts w:hint="eastAsia"/>
          <w:highlight w:val="none"/>
        </w:rPr>
        <w:t>3.4 投标有效期</w:t>
      </w:r>
      <w:bookmarkEnd w:id="231"/>
      <w:bookmarkEnd w:id="232"/>
      <w:bookmarkEnd w:id="233"/>
      <w:bookmarkEnd w:id="234"/>
      <w:bookmarkEnd w:id="235"/>
      <w:bookmarkEnd w:id="236"/>
      <w:bookmarkEnd w:id="237"/>
      <w:bookmarkEnd w:id="238"/>
      <w:bookmarkEnd w:id="239"/>
      <w:bookmarkEnd w:id="240"/>
      <w:bookmarkEnd w:id="241"/>
    </w:p>
    <w:p>
      <w:pPr>
        <w:spacing w:line="520" w:lineRule="exact"/>
        <w:ind w:firstLine="480" w:firstLineChars="200"/>
        <w:rPr>
          <w:rFonts w:ascii="宋体" w:hAnsi="宋体"/>
          <w:sz w:val="24"/>
          <w:highlight w:val="none"/>
        </w:rPr>
      </w:pPr>
      <w:r>
        <w:rPr>
          <w:rFonts w:hint="eastAsia" w:ascii="宋体" w:hAnsi="宋体"/>
          <w:sz w:val="24"/>
          <w:highlight w:val="none"/>
        </w:rPr>
        <w:t>3.3.1投标有效期为90天。</w:t>
      </w:r>
    </w:p>
    <w:p>
      <w:pPr>
        <w:spacing w:line="520" w:lineRule="exact"/>
        <w:ind w:firstLine="480" w:firstLineChars="200"/>
        <w:rPr>
          <w:rFonts w:ascii="宋体" w:hAnsi="宋体"/>
          <w:sz w:val="24"/>
          <w:highlight w:val="none"/>
        </w:rPr>
      </w:pPr>
      <w:r>
        <w:rPr>
          <w:rFonts w:hint="eastAsia" w:ascii="宋体" w:hAnsi="宋体"/>
          <w:sz w:val="24"/>
          <w:highlight w:val="none"/>
        </w:rPr>
        <w:t>3.3.2在投标有效期内，撤销或修改其响应文件的，应承担磋商文件和法律规定的责任。</w:t>
      </w:r>
    </w:p>
    <w:p>
      <w:pPr>
        <w:spacing w:line="520" w:lineRule="exact"/>
        <w:ind w:firstLine="480" w:firstLineChars="200"/>
        <w:rPr>
          <w:rFonts w:ascii="宋体" w:hAnsi="宋体"/>
          <w:sz w:val="28"/>
          <w:szCs w:val="28"/>
          <w:highlight w:val="none"/>
        </w:rPr>
      </w:pPr>
      <w:r>
        <w:rPr>
          <w:rFonts w:hint="eastAsia" w:ascii="宋体" w:hAnsi="宋体"/>
          <w:sz w:val="24"/>
          <w:highlight w:val="none"/>
        </w:rPr>
        <w:t>3.3.3出现特殊情况需要延长投标有效期的，采购人以书面形式通知所有延长投标有效期。同意延长的，应相应延长其磋商保证金的有效期，但不得要求或被允许修改或撤销其响应文件；拒绝延长的，其投标失效，但有权收回其磋商保证金。</w:t>
      </w:r>
    </w:p>
    <w:p>
      <w:pPr>
        <w:pStyle w:val="5"/>
        <w:spacing w:line="520" w:lineRule="exact"/>
        <w:rPr>
          <w:highlight w:val="none"/>
        </w:rPr>
      </w:pPr>
      <w:bookmarkStart w:id="242" w:name="_Toc246996195"/>
      <w:bookmarkStart w:id="243" w:name="_Toc296602440"/>
      <w:bookmarkStart w:id="244" w:name="_Toc247085709"/>
      <w:bookmarkStart w:id="245" w:name="_Toc246996938"/>
      <w:bookmarkStart w:id="246" w:name="_Toc12491"/>
      <w:bookmarkStart w:id="247" w:name="_Toc152042326"/>
      <w:bookmarkStart w:id="248" w:name="_Toc144974518"/>
      <w:bookmarkStart w:id="249" w:name="_Toc152045550"/>
      <w:bookmarkStart w:id="250" w:name="_Toc31170"/>
      <w:bookmarkStart w:id="251" w:name="_Toc179632568"/>
      <w:bookmarkStart w:id="252" w:name="_Toc26375"/>
      <w:r>
        <w:rPr>
          <w:rFonts w:hint="eastAsia"/>
          <w:highlight w:val="none"/>
        </w:rPr>
        <w:t>3.5磋商保证金</w:t>
      </w:r>
      <w:bookmarkEnd w:id="242"/>
      <w:bookmarkEnd w:id="243"/>
      <w:bookmarkEnd w:id="244"/>
      <w:bookmarkEnd w:id="245"/>
      <w:bookmarkEnd w:id="246"/>
      <w:bookmarkEnd w:id="247"/>
      <w:bookmarkEnd w:id="248"/>
      <w:bookmarkEnd w:id="249"/>
      <w:bookmarkEnd w:id="250"/>
      <w:bookmarkEnd w:id="251"/>
      <w:bookmarkEnd w:id="252"/>
    </w:p>
    <w:p>
      <w:pPr>
        <w:spacing w:line="520" w:lineRule="exact"/>
        <w:ind w:firstLine="480" w:firstLineChars="200"/>
        <w:rPr>
          <w:rFonts w:ascii="宋体" w:hAnsi="宋体"/>
          <w:sz w:val="24"/>
          <w:highlight w:val="none"/>
        </w:rPr>
      </w:pPr>
      <w:r>
        <w:rPr>
          <w:rFonts w:hint="eastAsia" w:ascii="宋体" w:hAnsi="宋体"/>
          <w:sz w:val="24"/>
          <w:highlight w:val="none"/>
        </w:rPr>
        <w:t>3.4.1 须知前附表规定递交磋商保证金的，在递交响应文件的同时，应按须知前附表规定的金额、担保形式和第七章“响应文件格式”规定的或者事先经过采购人认可的磋商保证金格式递交磋商保证金，并作为其响应文件的组成部分。</w:t>
      </w:r>
    </w:p>
    <w:p>
      <w:pPr>
        <w:spacing w:line="520" w:lineRule="exact"/>
        <w:ind w:firstLine="480" w:firstLineChars="200"/>
        <w:rPr>
          <w:rFonts w:ascii="宋体" w:hAnsi="宋体"/>
          <w:sz w:val="24"/>
          <w:highlight w:val="none"/>
        </w:rPr>
      </w:pPr>
      <w:r>
        <w:rPr>
          <w:rFonts w:hint="eastAsia" w:ascii="宋体" w:hAnsi="宋体"/>
          <w:sz w:val="24"/>
          <w:highlight w:val="none"/>
        </w:rPr>
        <w:t>3.4.2 不按本章第3.4.1项要求提交磋商保证金的，磋商小组将否决其投标。</w:t>
      </w:r>
    </w:p>
    <w:p>
      <w:pPr>
        <w:spacing w:line="520" w:lineRule="exact"/>
        <w:ind w:firstLine="480" w:firstLineChars="200"/>
        <w:rPr>
          <w:rFonts w:ascii="宋体" w:hAnsi="宋体"/>
          <w:sz w:val="24"/>
          <w:highlight w:val="none"/>
        </w:rPr>
      </w:pPr>
      <w:r>
        <w:rPr>
          <w:rFonts w:hint="eastAsia" w:ascii="宋体" w:hAnsi="宋体"/>
          <w:sz w:val="24"/>
          <w:highlight w:val="none"/>
        </w:rPr>
        <w:t>3.4.3未成交的磋商保证金应当在成交通知书发出后5个工作日内退还，成交的磋商保证金应当在采购合同签订后5个工作日内退还。</w:t>
      </w:r>
    </w:p>
    <w:p>
      <w:pPr>
        <w:spacing w:line="520" w:lineRule="exact"/>
        <w:ind w:firstLine="480" w:firstLineChars="200"/>
        <w:rPr>
          <w:rFonts w:ascii="宋体" w:hAnsi="宋体"/>
          <w:sz w:val="24"/>
          <w:highlight w:val="none"/>
        </w:rPr>
      </w:pPr>
      <w:r>
        <w:rPr>
          <w:rFonts w:hint="eastAsia" w:ascii="宋体" w:hAnsi="宋体"/>
          <w:sz w:val="24"/>
          <w:highlight w:val="none"/>
        </w:rPr>
        <w:t xml:space="preserve">3.4.4 有下列情形之一的，磋商保证金将不予退还： </w:t>
      </w:r>
    </w:p>
    <w:p>
      <w:pPr>
        <w:spacing w:line="520" w:lineRule="exact"/>
        <w:ind w:firstLine="480" w:firstLineChars="200"/>
        <w:rPr>
          <w:rFonts w:ascii="宋体" w:hAnsi="宋体"/>
          <w:sz w:val="24"/>
          <w:highlight w:val="none"/>
        </w:rPr>
      </w:pPr>
      <w:r>
        <w:rPr>
          <w:rFonts w:hint="eastAsia" w:ascii="宋体" w:hAnsi="宋体"/>
          <w:sz w:val="24"/>
          <w:highlight w:val="none"/>
        </w:rPr>
        <w:t>（1）在规定的投标有效期内撤销或修改其响应文件；</w:t>
      </w:r>
    </w:p>
    <w:p>
      <w:pPr>
        <w:spacing w:line="520" w:lineRule="exact"/>
        <w:ind w:firstLine="480" w:firstLineChars="200"/>
        <w:rPr>
          <w:rFonts w:ascii="宋体" w:hAnsi="宋体"/>
          <w:sz w:val="24"/>
          <w:highlight w:val="none"/>
        </w:rPr>
      </w:pPr>
      <w:r>
        <w:rPr>
          <w:rFonts w:hint="eastAsia" w:ascii="宋体" w:hAnsi="宋体"/>
          <w:sz w:val="24"/>
          <w:highlight w:val="none"/>
        </w:rPr>
        <w:t>（2）成交在收到成交候选人后，无正当理由拒签合同协议书或未按磋商文件规定提交履约担保；</w:t>
      </w:r>
    </w:p>
    <w:p>
      <w:pPr>
        <w:spacing w:line="520" w:lineRule="exact"/>
        <w:ind w:firstLine="480" w:firstLineChars="200"/>
        <w:rPr>
          <w:rFonts w:ascii="宋体" w:hAnsi="宋体"/>
          <w:sz w:val="24"/>
          <w:highlight w:val="none"/>
        </w:rPr>
      </w:pPr>
      <w:r>
        <w:rPr>
          <w:rFonts w:hint="eastAsia" w:ascii="宋体" w:hAnsi="宋体"/>
          <w:sz w:val="24"/>
          <w:highlight w:val="none"/>
        </w:rPr>
        <w:t>（3）有经行政主管部门查实、通报的不良行为记录，承诺与事实不符，给采购人造成损失的。</w:t>
      </w:r>
    </w:p>
    <w:p>
      <w:pPr>
        <w:pStyle w:val="5"/>
        <w:spacing w:line="520" w:lineRule="exact"/>
        <w:rPr>
          <w:highlight w:val="none"/>
        </w:rPr>
      </w:pPr>
      <w:bookmarkStart w:id="253" w:name="_Toc17221"/>
      <w:bookmarkStart w:id="254" w:name="_Toc246996196"/>
      <w:bookmarkStart w:id="255" w:name="_Toc246996939"/>
      <w:bookmarkStart w:id="256" w:name="_Toc29683"/>
      <w:bookmarkStart w:id="257" w:name="_Toc12729"/>
      <w:bookmarkStart w:id="258" w:name="_Toc152042328"/>
      <w:bookmarkStart w:id="259" w:name="_Toc247085710"/>
      <w:bookmarkStart w:id="260" w:name="_Toc144974520"/>
      <w:bookmarkStart w:id="261" w:name="_Toc296602441"/>
      <w:bookmarkStart w:id="262" w:name="_Toc152045552"/>
      <w:bookmarkStart w:id="263" w:name="_Toc179632570"/>
      <w:r>
        <w:rPr>
          <w:rFonts w:hint="eastAsia"/>
          <w:highlight w:val="none"/>
        </w:rPr>
        <w:t>3.6资格审查资料</w:t>
      </w:r>
      <w:bookmarkEnd w:id="253"/>
      <w:bookmarkEnd w:id="254"/>
      <w:bookmarkEnd w:id="255"/>
      <w:bookmarkEnd w:id="256"/>
      <w:bookmarkEnd w:id="257"/>
      <w:bookmarkEnd w:id="258"/>
      <w:bookmarkEnd w:id="259"/>
      <w:bookmarkEnd w:id="260"/>
      <w:bookmarkEnd w:id="261"/>
      <w:bookmarkEnd w:id="262"/>
      <w:bookmarkEnd w:id="263"/>
    </w:p>
    <w:p>
      <w:pPr>
        <w:spacing w:line="520" w:lineRule="exact"/>
        <w:ind w:firstLine="480" w:firstLineChars="200"/>
        <w:rPr>
          <w:rFonts w:ascii="宋体" w:hAnsi="宋体"/>
          <w:sz w:val="24"/>
          <w:highlight w:val="none"/>
        </w:rPr>
      </w:pPr>
      <w:r>
        <w:rPr>
          <w:rFonts w:hint="eastAsia" w:ascii="宋体" w:hAnsi="宋体"/>
          <w:sz w:val="24"/>
          <w:highlight w:val="none"/>
        </w:rPr>
        <w:t>3.5.1 “基本情况表”应附公司营业执照、资质证书、法人身份证明或授权代表授权委托书及身份证等资格要求中需要提交的材料的原件。</w:t>
      </w:r>
    </w:p>
    <w:p>
      <w:pPr>
        <w:spacing w:line="520" w:lineRule="exact"/>
        <w:ind w:firstLine="480" w:firstLineChars="200"/>
        <w:rPr>
          <w:rFonts w:ascii="宋体" w:hAnsi="宋体"/>
          <w:sz w:val="24"/>
          <w:highlight w:val="none"/>
        </w:rPr>
      </w:pPr>
      <w:r>
        <w:rPr>
          <w:rFonts w:hint="eastAsia" w:ascii="宋体" w:hAnsi="宋体"/>
          <w:sz w:val="24"/>
          <w:highlight w:val="none"/>
        </w:rPr>
        <w:t>3.5.2 近三年财务状况良好的证明材料（资产负债表、现金流量表、利润表、财务情况说明书、银行资信证明等均可）</w:t>
      </w:r>
    </w:p>
    <w:p>
      <w:pPr>
        <w:spacing w:line="520" w:lineRule="exact"/>
        <w:ind w:firstLine="480" w:firstLineChars="200"/>
        <w:rPr>
          <w:rFonts w:ascii="宋体" w:hAnsi="宋体"/>
          <w:sz w:val="24"/>
          <w:highlight w:val="none"/>
        </w:rPr>
      </w:pPr>
      <w:r>
        <w:rPr>
          <w:rFonts w:hint="eastAsia" w:ascii="宋体" w:hAnsi="宋体"/>
          <w:sz w:val="24"/>
          <w:highlight w:val="none"/>
        </w:rPr>
        <w:t>3.5.3 “近年完成的类似工程业绩情况表”应附成交通知书或合同协议书复印件等均可，具体年份要求见须知前附表。</w:t>
      </w:r>
    </w:p>
    <w:p>
      <w:pPr>
        <w:pStyle w:val="5"/>
        <w:spacing w:line="520" w:lineRule="exact"/>
        <w:rPr>
          <w:highlight w:val="none"/>
        </w:rPr>
      </w:pPr>
      <w:bookmarkStart w:id="264" w:name="_Toc8035"/>
      <w:bookmarkStart w:id="265" w:name="_Toc18090"/>
      <w:bookmarkStart w:id="266" w:name="_Toc296602442"/>
      <w:bookmarkStart w:id="267" w:name="_Toc28721"/>
      <w:bookmarkStart w:id="268" w:name="_Toc152045553"/>
      <w:bookmarkStart w:id="269" w:name="_Toc246996197"/>
      <w:bookmarkStart w:id="270" w:name="_Toc247085711"/>
      <w:bookmarkStart w:id="271" w:name="_Toc179632571"/>
      <w:bookmarkStart w:id="272" w:name="_Toc246996940"/>
      <w:bookmarkStart w:id="273" w:name="_Toc144974521"/>
      <w:bookmarkStart w:id="274" w:name="_Toc152042329"/>
      <w:r>
        <w:rPr>
          <w:rFonts w:hint="eastAsia"/>
          <w:highlight w:val="none"/>
        </w:rPr>
        <w:t>3.7响应文件的编制</w:t>
      </w:r>
      <w:bookmarkEnd w:id="264"/>
      <w:bookmarkEnd w:id="265"/>
      <w:bookmarkEnd w:id="266"/>
      <w:bookmarkEnd w:id="267"/>
    </w:p>
    <w:p>
      <w:pPr>
        <w:spacing w:line="520" w:lineRule="exact"/>
        <w:ind w:firstLine="480" w:firstLineChars="200"/>
        <w:rPr>
          <w:rFonts w:ascii="宋体" w:hAnsi="宋体"/>
          <w:sz w:val="24"/>
          <w:highlight w:val="none"/>
        </w:rPr>
      </w:pPr>
      <w:r>
        <w:rPr>
          <w:rFonts w:hint="eastAsia" w:ascii="宋体" w:hAnsi="宋体"/>
          <w:sz w:val="24"/>
          <w:highlight w:val="none"/>
        </w:rPr>
        <w:t>3.6.1响应文件应按第七章“响应文件格式”进行编写，如有必要，可以增加附页，作为响应文件的组成部分。其中，投标函附录在满足磋商文件实质性要求的基础上，可以提出比磋商文件要求更有利于采购人的承诺。</w:t>
      </w:r>
    </w:p>
    <w:p>
      <w:pPr>
        <w:spacing w:line="520" w:lineRule="exact"/>
        <w:ind w:firstLine="480" w:firstLineChars="200"/>
        <w:rPr>
          <w:rFonts w:ascii="宋体" w:hAnsi="宋体"/>
          <w:sz w:val="24"/>
          <w:highlight w:val="none"/>
        </w:rPr>
      </w:pPr>
      <w:r>
        <w:rPr>
          <w:rFonts w:hint="eastAsia" w:ascii="宋体" w:hAnsi="宋体"/>
          <w:sz w:val="24"/>
          <w:highlight w:val="none"/>
        </w:rPr>
        <w:t>3.6.2 响应文件应当对磋商文件有关设计期限、投标有效期、服务要求、质量要求、项目标准和要求、采购范围等实质性内容作出响应。</w:t>
      </w:r>
    </w:p>
    <w:p>
      <w:pPr>
        <w:spacing w:line="520" w:lineRule="exact"/>
        <w:ind w:firstLine="480" w:firstLineChars="200"/>
        <w:rPr>
          <w:rFonts w:ascii="宋体" w:hAnsi="宋体"/>
          <w:sz w:val="24"/>
          <w:highlight w:val="none"/>
        </w:rPr>
      </w:pPr>
      <w:r>
        <w:rPr>
          <w:rFonts w:hint="eastAsia" w:ascii="宋体" w:hAnsi="宋体"/>
          <w:sz w:val="24"/>
          <w:highlight w:val="none"/>
        </w:rPr>
        <w:t>3.6.3响应文件应用不褪色的材料书写或打印，并由的法定代表人或其委托代理人签字或盖单位章。委托代理人签字的，响应文件应附法定代表人签署的授权委托书。响应文件应尽量避免涂改、行间插字或删除。如果出现上述情况，改动之处应加盖单位章或由的法定代表人或其授权的代理人签字确认。签字或盖章的具体要求见须知前附表。</w:t>
      </w:r>
    </w:p>
    <w:p>
      <w:pPr>
        <w:spacing w:line="520" w:lineRule="exact"/>
        <w:ind w:firstLine="480" w:firstLineChars="200"/>
        <w:rPr>
          <w:rFonts w:ascii="宋体" w:hAnsi="宋体"/>
          <w:sz w:val="24"/>
          <w:highlight w:val="none"/>
        </w:rPr>
      </w:pPr>
      <w:r>
        <w:rPr>
          <w:rFonts w:hint="eastAsia" w:ascii="宋体" w:hAnsi="宋体"/>
          <w:sz w:val="24"/>
          <w:highlight w:val="none"/>
        </w:rPr>
        <w:t>3.6.4 响应文件正本一份, 副本份数见须知前附表。正本和副本的封面上应清楚地标记“正本”或“副本”的字样。当副本和正本不一致时，以正本为准。</w:t>
      </w:r>
    </w:p>
    <w:p>
      <w:pPr>
        <w:spacing w:line="520" w:lineRule="exact"/>
        <w:ind w:firstLine="480" w:firstLineChars="200"/>
        <w:rPr>
          <w:rFonts w:ascii="宋体" w:hAnsi="宋体"/>
          <w:sz w:val="24"/>
          <w:highlight w:val="none"/>
        </w:rPr>
      </w:pPr>
      <w:r>
        <w:rPr>
          <w:rFonts w:hint="eastAsia" w:ascii="宋体" w:hAnsi="宋体"/>
          <w:sz w:val="24"/>
          <w:highlight w:val="none"/>
        </w:rPr>
        <w:t>3.6.5 响应文件的正本与副本应分别胶装成册，不得采用活页装订。</w:t>
      </w:r>
      <w:bookmarkEnd w:id="268"/>
      <w:bookmarkEnd w:id="269"/>
      <w:bookmarkEnd w:id="270"/>
      <w:bookmarkEnd w:id="271"/>
      <w:bookmarkEnd w:id="272"/>
      <w:bookmarkEnd w:id="273"/>
      <w:bookmarkEnd w:id="274"/>
      <w:bookmarkStart w:id="275" w:name="_Toc179632573"/>
      <w:bookmarkStart w:id="276" w:name="_Toc246996942"/>
      <w:bookmarkStart w:id="277" w:name="_Toc152042331"/>
      <w:bookmarkStart w:id="278" w:name="_Toc247085713"/>
      <w:bookmarkStart w:id="279" w:name="_Toc246996199"/>
      <w:bookmarkStart w:id="280" w:name="_Toc152045555"/>
      <w:bookmarkStart w:id="281" w:name="_Toc144974523"/>
    </w:p>
    <w:p>
      <w:pPr>
        <w:pStyle w:val="4"/>
        <w:spacing w:line="520" w:lineRule="exact"/>
        <w:rPr>
          <w:highlight w:val="none"/>
        </w:rPr>
      </w:pPr>
      <w:bookmarkStart w:id="282" w:name="_Toc15007"/>
      <w:bookmarkStart w:id="283" w:name="_Toc28571"/>
      <w:bookmarkStart w:id="284" w:name="_Toc5255"/>
      <w:bookmarkStart w:id="285" w:name="_Toc296602443"/>
      <w:r>
        <w:rPr>
          <w:rFonts w:hint="eastAsia"/>
          <w:highlight w:val="none"/>
        </w:rPr>
        <w:t>4. 投标</w:t>
      </w:r>
      <w:bookmarkEnd w:id="275"/>
      <w:bookmarkEnd w:id="276"/>
      <w:bookmarkEnd w:id="277"/>
      <w:bookmarkEnd w:id="278"/>
      <w:bookmarkEnd w:id="279"/>
      <w:bookmarkEnd w:id="280"/>
      <w:bookmarkEnd w:id="281"/>
      <w:bookmarkEnd w:id="282"/>
      <w:bookmarkEnd w:id="283"/>
      <w:bookmarkEnd w:id="284"/>
      <w:bookmarkEnd w:id="285"/>
    </w:p>
    <w:p>
      <w:pPr>
        <w:pStyle w:val="5"/>
        <w:spacing w:line="520" w:lineRule="exact"/>
        <w:rPr>
          <w:highlight w:val="none"/>
        </w:rPr>
      </w:pPr>
      <w:bookmarkStart w:id="286" w:name="_Toc179632574"/>
      <w:bookmarkStart w:id="287" w:name="_Toc144974524"/>
      <w:bookmarkStart w:id="288" w:name="_Toc19075"/>
      <w:bookmarkStart w:id="289" w:name="_Toc27647"/>
      <w:bookmarkStart w:id="290" w:name="_Toc247085714"/>
      <w:bookmarkStart w:id="291" w:name="_Toc24000"/>
      <w:bookmarkStart w:id="292" w:name="_Toc246996200"/>
      <w:bookmarkStart w:id="293" w:name="_Toc152042332"/>
      <w:bookmarkStart w:id="294" w:name="_Toc296602444"/>
      <w:bookmarkStart w:id="295" w:name="_Toc246996943"/>
      <w:bookmarkStart w:id="296" w:name="_Toc152045556"/>
      <w:r>
        <w:rPr>
          <w:rFonts w:hint="eastAsia"/>
          <w:highlight w:val="none"/>
        </w:rPr>
        <w:t>4.1 响应文件的密封和标记</w:t>
      </w:r>
      <w:bookmarkEnd w:id="286"/>
      <w:bookmarkEnd w:id="287"/>
      <w:bookmarkEnd w:id="288"/>
      <w:bookmarkEnd w:id="289"/>
      <w:bookmarkEnd w:id="290"/>
      <w:bookmarkEnd w:id="291"/>
      <w:bookmarkEnd w:id="292"/>
      <w:bookmarkEnd w:id="293"/>
      <w:bookmarkEnd w:id="294"/>
      <w:bookmarkEnd w:id="295"/>
      <w:bookmarkEnd w:id="296"/>
    </w:p>
    <w:p>
      <w:pPr>
        <w:spacing w:line="520" w:lineRule="exact"/>
        <w:ind w:firstLine="480" w:firstLineChars="200"/>
        <w:rPr>
          <w:rFonts w:ascii="宋体" w:hAnsi="宋体"/>
          <w:sz w:val="24"/>
          <w:highlight w:val="none"/>
        </w:rPr>
      </w:pPr>
      <w:bookmarkStart w:id="297" w:name="_Toc246996944"/>
      <w:bookmarkStart w:id="298" w:name="_Toc152045557"/>
      <w:bookmarkStart w:id="299" w:name="_Toc179632575"/>
      <w:bookmarkStart w:id="300" w:name="_Toc247085715"/>
      <w:bookmarkStart w:id="301" w:name="_Toc152042333"/>
      <w:bookmarkStart w:id="302" w:name="_Toc246996201"/>
      <w:bookmarkStart w:id="303" w:name="_Toc144974525"/>
      <w:r>
        <w:rPr>
          <w:rFonts w:hint="eastAsia" w:ascii="宋体" w:hAnsi="宋体"/>
          <w:sz w:val="24"/>
          <w:highlight w:val="none"/>
        </w:rPr>
        <w:t>4.1.1 响应文件应进行包装、加贴封条，并在封套的封口处加盖单位章。</w:t>
      </w:r>
    </w:p>
    <w:p>
      <w:pPr>
        <w:spacing w:line="520" w:lineRule="exact"/>
        <w:ind w:firstLine="480" w:firstLineChars="200"/>
        <w:rPr>
          <w:rFonts w:ascii="宋体" w:hAnsi="宋体"/>
          <w:sz w:val="24"/>
          <w:highlight w:val="none"/>
        </w:rPr>
      </w:pPr>
      <w:r>
        <w:rPr>
          <w:rFonts w:hint="eastAsia" w:ascii="宋体" w:hAnsi="宋体"/>
          <w:sz w:val="24"/>
          <w:highlight w:val="none"/>
        </w:rPr>
        <w:t>4.1.2 响应文件封套上应写明的内容见须知前附表。</w:t>
      </w:r>
    </w:p>
    <w:p>
      <w:pPr>
        <w:spacing w:line="520" w:lineRule="exact"/>
        <w:ind w:firstLine="480" w:firstLineChars="200"/>
        <w:rPr>
          <w:rFonts w:ascii="宋体" w:hAnsi="宋体"/>
          <w:sz w:val="24"/>
          <w:highlight w:val="none"/>
        </w:rPr>
      </w:pPr>
      <w:r>
        <w:rPr>
          <w:rFonts w:hint="eastAsia" w:ascii="宋体" w:hAnsi="宋体"/>
          <w:sz w:val="24"/>
          <w:highlight w:val="none"/>
        </w:rPr>
        <w:t>4.1.3 响应文件、资格证明文件应分别单独密封。</w:t>
      </w:r>
    </w:p>
    <w:p>
      <w:pPr>
        <w:spacing w:line="520" w:lineRule="exact"/>
        <w:ind w:firstLine="480" w:firstLineChars="200"/>
        <w:rPr>
          <w:rFonts w:ascii="宋体" w:hAnsi="宋体"/>
          <w:sz w:val="24"/>
          <w:highlight w:val="none"/>
        </w:rPr>
      </w:pPr>
      <w:r>
        <w:rPr>
          <w:rFonts w:hint="eastAsia" w:ascii="宋体" w:hAnsi="宋体"/>
          <w:sz w:val="24"/>
          <w:highlight w:val="none"/>
        </w:rPr>
        <w:t>4.1.4 未按本章第4.1.1项、第4.1.2项、第4.1.3项要求密封和加写标记的响应文件，采购人应予拒收。</w:t>
      </w:r>
    </w:p>
    <w:p>
      <w:pPr>
        <w:pStyle w:val="5"/>
        <w:spacing w:line="520" w:lineRule="exact"/>
        <w:rPr>
          <w:highlight w:val="none"/>
        </w:rPr>
      </w:pPr>
      <w:bookmarkStart w:id="304" w:name="_Toc6932"/>
      <w:bookmarkStart w:id="305" w:name="_Toc25850"/>
      <w:bookmarkStart w:id="306" w:name="_Toc17819"/>
      <w:bookmarkStart w:id="307" w:name="_Toc296602445"/>
      <w:r>
        <w:rPr>
          <w:rFonts w:hint="eastAsia"/>
          <w:highlight w:val="none"/>
        </w:rPr>
        <w:t>4.2 响应文件的递交</w:t>
      </w:r>
      <w:bookmarkEnd w:id="297"/>
      <w:bookmarkEnd w:id="298"/>
      <w:bookmarkEnd w:id="299"/>
      <w:bookmarkEnd w:id="300"/>
      <w:bookmarkEnd w:id="301"/>
      <w:bookmarkEnd w:id="302"/>
      <w:bookmarkEnd w:id="303"/>
      <w:bookmarkEnd w:id="304"/>
      <w:bookmarkEnd w:id="305"/>
      <w:bookmarkEnd w:id="306"/>
      <w:bookmarkEnd w:id="307"/>
    </w:p>
    <w:p>
      <w:pPr>
        <w:spacing w:line="520" w:lineRule="exact"/>
        <w:ind w:firstLine="480" w:firstLineChars="200"/>
        <w:rPr>
          <w:rFonts w:ascii="宋体" w:hAnsi="宋体"/>
          <w:sz w:val="24"/>
          <w:highlight w:val="none"/>
        </w:rPr>
      </w:pPr>
      <w:r>
        <w:rPr>
          <w:rFonts w:hint="eastAsia" w:ascii="宋体" w:hAnsi="宋体"/>
          <w:sz w:val="24"/>
          <w:highlight w:val="none"/>
        </w:rPr>
        <w:t>4.2.1 应在投标截止时间前递交响应文件。</w:t>
      </w:r>
    </w:p>
    <w:p>
      <w:pPr>
        <w:spacing w:line="520" w:lineRule="exact"/>
        <w:ind w:firstLine="480" w:firstLineChars="200"/>
        <w:rPr>
          <w:rFonts w:ascii="宋体" w:hAnsi="宋体"/>
          <w:sz w:val="24"/>
          <w:highlight w:val="none"/>
        </w:rPr>
      </w:pPr>
      <w:r>
        <w:rPr>
          <w:rFonts w:hint="eastAsia" w:ascii="宋体" w:hAnsi="宋体"/>
          <w:sz w:val="24"/>
          <w:highlight w:val="none"/>
        </w:rPr>
        <w:t>4.2.2 递交响应文件的地点：见须知前附表。</w:t>
      </w:r>
    </w:p>
    <w:p>
      <w:pPr>
        <w:spacing w:line="520" w:lineRule="exact"/>
        <w:ind w:firstLine="480" w:firstLineChars="200"/>
        <w:rPr>
          <w:rFonts w:ascii="宋体" w:hAnsi="宋体"/>
          <w:sz w:val="24"/>
          <w:highlight w:val="none"/>
        </w:rPr>
      </w:pPr>
      <w:r>
        <w:rPr>
          <w:rFonts w:hint="eastAsia" w:ascii="宋体" w:hAnsi="宋体"/>
          <w:sz w:val="24"/>
          <w:highlight w:val="none"/>
        </w:rPr>
        <w:t>4.2.3 所递交的响应文件不予退还。</w:t>
      </w:r>
    </w:p>
    <w:p>
      <w:pPr>
        <w:spacing w:line="520" w:lineRule="exact"/>
        <w:ind w:firstLine="480" w:firstLineChars="200"/>
        <w:rPr>
          <w:rFonts w:ascii="宋体" w:hAnsi="宋体"/>
          <w:sz w:val="24"/>
          <w:highlight w:val="none"/>
        </w:rPr>
      </w:pPr>
      <w:r>
        <w:rPr>
          <w:rFonts w:hint="eastAsia" w:ascii="宋体" w:hAnsi="宋体"/>
          <w:sz w:val="24"/>
          <w:highlight w:val="none"/>
        </w:rPr>
        <w:t>4.2.4 采购人或采购代理机构收到响应文件后，请在签到表上签字确认。</w:t>
      </w:r>
    </w:p>
    <w:p>
      <w:pPr>
        <w:spacing w:line="520" w:lineRule="exact"/>
        <w:ind w:firstLine="480" w:firstLineChars="200"/>
        <w:rPr>
          <w:rFonts w:ascii="宋体" w:hAnsi="宋体"/>
          <w:sz w:val="24"/>
          <w:highlight w:val="none"/>
        </w:rPr>
      </w:pPr>
      <w:r>
        <w:rPr>
          <w:rFonts w:hint="eastAsia" w:ascii="宋体" w:hAnsi="宋体"/>
          <w:sz w:val="24"/>
          <w:highlight w:val="none"/>
        </w:rPr>
        <w:t>4.2.5 逾期送达的或者未送达指定地点的响应文件，采购人不予受理。</w:t>
      </w:r>
    </w:p>
    <w:p>
      <w:pPr>
        <w:pStyle w:val="5"/>
        <w:spacing w:line="520" w:lineRule="exact"/>
        <w:rPr>
          <w:highlight w:val="none"/>
        </w:rPr>
      </w:pPr>
      <w:bookmarkStart w:id="308" w:name="_Toc20192"/>
      <w:bookmarkStart w:id="309" w:name="_Toc144974526"/>
      <w:bookmarkStart w:id="310" w:name="_Toc246996945"/>
      <w:bookmarkStart w:id="311" w:name="_Toc296602446"/>
      <w:bookmarkStart w:id="312" w:name="_Toc152042334"/>
      <w:bookmarkStart w:id="313" w:name="_Toc247085716"/>
      <w:bookmarkStart w:id="314" w:name="_Toc152045558"/>
      <w:bookmarkStart w:id="315" w:name="_Toc19098"/>
      <w:bookmarkStart w:id="316" w:name="_Toc179632576"/>
      <w:bookmarkStart w:id="317" w:name="_Toc246996202"/>
      <w:bookmarkStart w:id="318" w:name="_Toc9485"/>
      <w:r>
        <w:rPr>
          <w:rFonts w:hint="eastAsia"/>
          <w:highlight w:val="none"/>
        </w:rPr>
        <w:t>4.3 响应文件的修改与撤回</w:t>
      </w:r>
      <w:bookmarkEnd w:id="308"/>
      <w:bookmarkEnd w:id="309"/>
      <w:bookmarkEnd w:id="310"/>
      <w:bookmarkEnd w:id="311"/>
      <w:bookmarkEnd w:id="312"/>
      <w:bookmarkEnd w:id="313"/>
      <w:bookmarkEnd w:id="314"/>
      <w:bookmarkEnd w:id="315"/>
      <w:bookmarkEnd w:id="316"/>
      <w:bookmarkEnd w:id="317"/>
      <w:bookmarkEnd w:id="318"/>
    </w:p>
    <w:p>
      <w:pPr>
        <w:spacing w:line="520" w:lineRule="exact"/>
        <w:ind w:firstLine="480" w:firstLineChars="200"/>
        <w:rPr>
          <w:rFonts w:ascii="宋体" w:hAnsi="宋体"/>
          <w:sz w:val="24"/>
          <w:highlight w:val="none"/>
        </w:rPr>
      </w:pPr>
      <w:r>
        <w:rPr>
          <w:rFonts w:hint="eastAsia" w:ascii="宋体" w:hAnsi="宋体"/>
          <w:sz w:val="24"/>
          <w:highlight w:val="none"/>
        </w:rPr>
        <w:t>4.3.1 在投标截止时间前，可以修改或撤回已递交的响应文件，但应以书面形式通知采购人。</w:t>
      </w:r>
    </w:p>
    <w:p>
      <w:pPr>
        <w:spacing w:line="520" w:lineRule="exact"/>
        <w:ind w:firstLine="480" w:firstLineChars="200"/>
        <w:rPr>
          <w:rFonts w:ascii="宋体" w:hAnsi="宋体"/>
          <w:sz w:val="24"/>
          <w:highlight w:val="none"/>
        </w:rPr>
      </w:pPr>
      <w:r>
        <w:rPr>
          <w:rFonts w:hint="eastAsia" w:ascii="宋体" w:hAnsi="宋体"/>
          <w:sz w:val="24"/>
          <w:highlight w:val="none"/>
        </w:rPr>
        <w:t>4.3.2 修改或撤回已递交响应文件的书面通知应按照本章第3.6.3项的要求签字或盖章。采购人收到书面通知后，向出具签收凭证。</w:t>
      </w:r>
    </w:p>
    <w:p>
      <w:pPr>
        <w:spacing w:line="520" w:lineRule="exact"/>
        <w:ind w:firstLine="480" w:firstLineChars="200"/>
        <w:rPr>
          <w:rFonts w:ascii="宋体" w:hAnsi="宋体"/>
          <w:sz w:val="24"/>
          <w:highlight w:val="none"/>
        </w:rPr>
      </w:pPr>
      <w:r>
        <w:rPr>
          <w:rFonts w:hint="eastAsia" w:ascii="宋体" w:hAnsi="宋体"/>
          <w:sz w:val="24"/>
          <w:highlight w:val="none"/>
        </w:rPr>
        <w:t>4.3.3 撤回响应文件的，采购人自收到书面撤回通知之日起5日内退还已收取的磋商保证金。</w:t>
      </w:r>
    </w:p>
    <w:p>
      <w:pPr>
        <w:spacing w:line="520" w:lineRule="exact"/>
        <w:ind w:firstLine="480" w:firstLineChars="200"/>
        <w:rPr>
          <w:rFonts w:ascii="宋体" w:hAnsi="宋体"/>
          <w:sz w:val="24"/>
          <w:highlight w:val="none"/>
        </w:rPr>
      </w:pPr>
      <w:r>
        <w:rPr>
          <w:rFonts w:hint="eastAsia" w:ascii="宋体" w:hAnsi="宋体"/>
          <w:sz w:val="24"/>
          <w:highlight w:val="none"/>
        </w:rPr>
        <w:t>4.3.4 修改的内容为响应文件的组成部分。修改的响应文件应按照本章第3条、第4条规定进行编制、密封、标记和递交，并标明“修改”字样。</w:t>
      </w:r>
    </w:p>
    <w:p>
      <w:pPr>
        <w:pStyle w:val="4"/>
        <w:spacing w:line="520" w:lineRule="exact"/>
        <w:rPr>
          <w:highlight w:val="none"/>
        </w:rPr>
      </w:pPr>
      <w:bookmarkStart w:id="319" w:name="_Toc246996203"/>
      <w:bookmarkStart w:id="320" w:name="_Toc247085717"/>
      <w:bookmarkStart w:id="321" w:name="_Toc179632577"/>
      <w:bookmarkStart w:id="322" w:name="_Toc296602447"/>
      <w:bookmarkStart w:id="323" w:name="_Toc23157"/>
      <w:bookmarkStart w:id="324" w:name="_Toc152042335"/>
      <w:bookmarkStart w:id="325" w:name="_Toc24129"/>
      <w:bookmarkStart w:id="326" w:name="_Toc152045559"/>
      <w:bookmarkStart w:id="327" w:name="_Toc246996946"/>
      <w:bookmarkStart w:id="328" w:name="_Toc144974527"/>
      <w:bookmarkStart w:id="329" w:name="_Toc19348"/>
      <w:r>
        <w:rPr>
          <w:rFonts w:hint="eastAsia"/>
          <w:highlight w:val="none"/>
        </w:rPr>
        <w:t>5. 开标</w:t>
      </w:r>
      <w:bookmarkEnd w:id="319"/>
      <w:bookmarkEnd w:id="320"/>
      <w:bookmarkEnd w:id="321"/>
      <w:bookmarkEnd w:id="322"/>
      <w:bookmarkEnd w:id="323"/>
      <w:bookmarkEnd w:id="324"/>
      <w:bookmarkEnd w:id="325"/>
      <w:bookmarkEnd w:id="326"/>
      <w:bookmarkEnd w:id="327"/>
      <w:bookmarkEnd w:id="328"/>
      <w:bookmarkEnd w:id="329"/>
    </w:p>
    <w:p>
      <w:pPr>
        <w:pStyle w:val="5"/>
        <w:spacing w:line="520" w:lineRule="exact"/>
        <w:rPr>
          <w:highlight w:val="none"/>
        </w:rPr>
      </w:pPr>
      <w:bookmarkStart w:id="330" w:name="_Toc296602448"/>
      <w:bookmarkStart w:id="331" w:name="_Toc13493"/>
      <w:bookmarkStart w:id="332" w:name="_Toc7699"/>
      <w:bookmarkStart w:id="333" w:name="_Toc179632578"/>
      <w:bookmarkStart w:id="334" w:name="_Toc152045560"/>
      <w:bookmarkStart w:id="335" w:name="_Toc152042336"/>
      <w:bookmarkStart w:id="336" w:name="_Toc246996947"/>
      <w:bookmarkStart w:id="337" w:name="_Toc2158"/>
      <w:bookmarkStart w:id="338" w:name="_Toc247085718"/>
      <w:bookmarkStart w:id="339" w:name="_Toc144974528"/>
      <w:bookmarkStart w:id="340" w:name="_Toc246996204"/>
      <w:r>
        <w:rPr>
          <w:rFonts w:hint="eastAsia"/>
          <w:highlight w:val="none"/>
        </w:rPr>
        <w:t>5.1 开标时间和地点</w:t>
      </w:r>
      <w:bookmarkEnd w:id="330"/>
      <w:bookmarkEnd w:id="331"/>
      <w:bookmarkEnd w:id="332"/>
      <w:bookmarkEnd w:id="333"/>
      <w:bookmarkEnd w:id="334"/>
      <w:bookmarkEnd w:id="335"/>
      <w:bookmarkEnd w:id="336"/>
      <w:bookmarkEnd w:id="337"/>
      <w:bookmarkEnd w:id="338"/>
      <w:bookmarkEnd w:id="339"/>
      <w:bookmarkEnd w:id="340"/>
    </w:p>
    <w:p>
      <w:pPr>
        <w:spacing w:line="520" w:lineRule="exact"/>
        <w:ind w:firstLine="480" w:firstLineChars="200"/>
        <w:rPr>
          <w:rFonts w:ascii="宋体" w:hAnsi="宋体"/>
          <w:sz w:val="24"/>
          <w:highlight w:val="none"/>
        </w:rPr>
      </w:pPr>
      <w:r>
        <w:rPr>
          <w:rFonts w:hint="eastAsia" w:ascii="宋体" w:hAnsi="宋体"/>
          <w:sz w:val="24"/>
          <w:highlight w:val="none"/>
        </w:rPr>
        <w:t>采购人在投标截止时间（开标时间）和须知前附表规定的地点公开开标，并邀请所有的法定代表人或其委托代理人准时参加。</w:t>
      </w:r>
    </w:p>
    <w:p>
      <w:pPr>
        <w:pStyle w:val="5"/>
        <w:spacing w:line="520" w:lineRule="exact"/>
        <w:rPr>
          <w:highlight w:val="none"/>
        </w:rPr>
      </w:pPr>
      <w:bookmarkStart w:id="341" w:name="_Toc296602449"/>
      <w:bookmarkStart w:id="342" w:name="_Toc247085719"/>
      <w:bookmarkStart w:id="343" w:name="_Toc21803"/>
      <w:bookmarkStart w:id="344" w:name="_Toc144974529"/>
      <w:bookmarkStart w:id="345" w:name="_Toc152045561"/>
      <w:bookmarkStart w:id="346" w:name="_Toc246996205"/>
      <w:bookmarkStart w:id="347" w:name="_Toc6460"/>
      <w:bookmarkStart w:id="348" w:name="_Toc152042337"/>
      <w:bookmarkStart w:id="349" w:name="_Toc246996948"/>
      <w:bookmarkStart w:id="350" w:name="_Toc891"/>
      <w:bookmarkStart w:id="351" w:name="_Toc179632579"/>
      <w:r>
        <w:rPr>
          <w:rFonts w:hint="eastAsia"/>
          <w:highlight w:val="none"/>
        </w:rPr>
        <w:t>5.2 开标程序</w:t>
      </w:r>
      <w:bookmarkEnd w:id="341"/>
      <w:bookmarkEnd w:id="342"/>
      <w:bookmarkEnd w:id="343"/>
      <w:bookmarkEnd w:id="344"/>
      <w:bookmarkEnd w:id="345"/>
      <w:bookmarkEnd w:id="346"/>
      <w:bookmarkEnd w:id="347"/>
      <w:bookmarkEnd w:id="348"/>
      <w:bookmarkEnd w:id="349"/>
      <w:bookmarkEnd w:id="350"/>
      <w:bookmarkEnd w:id="351"/>
    </w:p>
    <w:p>
      <w:pPr>
        <w:spacing w:line="520" w:lineRule="exact"/>
        <w:ind w:firstLine="480" w:firstLineChars="200"/>
        <w:rPr>
          <w:rFonts w:ascii="宋体" w:hAnsi="宋体"/>
          <w:sz w:val="24"/>
          <w:highlight w:val="none"/>
        </w:rPr>
      </w:pPr>
      <w:r>
        <w:rPr>
          <w:rFonts w:hint="eastAsia" w:ascii="宋体" w:hAnsi="宋体"/>
          <w:sz w:val="24"/>
          <w:highlight w:val="none"/>
        </w:rPr>
        <w:t>主持人按下列程序进行开标：</w:t>
      </w:r>
    </w:p>
    <w:p>
      <w:pPr>
        <w:spacing w:line="520" w:lineRule="exact"/>
        <w:ind w:firstLine="480" w:firstLineChars="200"/>
        <w:rPr>
          <w:rFonts w:ascii="宋体" w:hAnsi="宋体"/>
          <w:sz w:val="24"/>
          <w:highlight w:val="none"/>
        </w:rPr>
      </w:pPr>
      <w:r>
        <w:rPr>
          <w:rFonts w:hint="eastAsia" w:ascii="宋体" w:hAnsi="宋体"/>
          <w:sz w:val="24"/>
          <w:highlight w:val="none"/>
        </w:rPr>
        <w:t>（1）宣布开标纪律；</w:t>
      </w:r>
    </w:p>
    <w:p>
      <w:pPr>
        <w:spacing w:line="520" w:lineRule="exact"/>
        <w:ind w:firstLine="480" w:firstLineChars="200"/>
        <w:rPr>
          <w:rFonts w:ascii="宋体" w:hAnsi="宋体"/>
          <w:sz w:val="24"/>
          <w:highlight w:val="none"/>
        </w:rPr>
      </w:pPr>
      <w:r>
        <w:rPr>
          <w:rFonts w:hint="eastAsia" w:ascii="宋体" w:hAnsi="宋体"/>
          <w:sz w:val="24"/>
          <w:highlight w:val="none"/>
        </w:rPr>
        <w:t>（2）公布在投标截止时间前递交响应文件的名称；</w:t>
      </w:r>
    </w:p>
    <w:p>
      <w:pPr>
        <w:spacing w:line="520" w:lineRule="exact"/>
        <w:ind w:firstLine="480" w:firstLineChars="200"/>
        <w:rPr>
          <w:rFonts w:ascii="宋体" w:hAnsi="宋体"/>
          <w:sz w:val="24"/>
          <w:highlight w:val="none"/>
        </w:rPr>
      </w:pPr>
      <w:r>
        <w:rPr>
          <w:rFonts w:hint="eastAsia" w:ascii="宋体" w:hAnsi="宋体"/>
          <w:sz w:val="24"/>
          <w:highlight w:val="none"/>
        </w:rPr>
        <w:t>（3）宣布开标人、唱标人、记录人、监标人等有关人员姓名；</w:t>
      </w:r>
    </w:p>
    <w:p>
      <w:pPr>
        <w:spacing w:line="520" w:lineRule="exact"/>
        <w:ind w:firstLine="480" w:firstLineChars="200"/>
        <w:rPr>
          <w:rFonts w:ascii="宋体" w:hAnsi="宋体"/>
          <w:sz w:val="24"/>
          <w:highlight w:val="none"/>
        </w:rPr>
      </w:pPr>
      <w:r>
        <w:rPr>
          <w:rFonts w:hint="eastAsia" w:ascii="宋体" w:hAnsi="宋体"/>
          <w:sz w:val="24"/>
          <w:highlight w:val="none"/>
        </w:rPr>
        <w:t>（4）按照须知前附表规定检查响应文件的密封情况；</w:t>
      </w:r>
    </w:p>
    <w:p>
      <w:pPr>
        <w:spacing w:line="520" w:lineRule="exact"/>
        <w:ind w:firstLine="480" w:firstLineChars="200"/>
        <w:rPr>
          <w:rFonts w:ascii="宋体" w:hAnsi="宋体"/>
          <w:sz w:val="24"/>
          <w:highlight w:val="none"/>
        </w:rPr>
      </w:pPr>
      <w:r>
        <w:rPr>
          <w:rFonts w:hint="eastAsia" w:ascii="宋体" w:hAnsi="宋体"/>
          <w:sz w:val="24"/>
          <w:highlight w:val="none"/>
        </w:rPr>
        <w:t>（5）按照须知前附表的规定确定并宣布响应文件开标顺序；</w:t>
      </w:r>
    </w:p>
    <w:p>
      <w:pPr>
        <w:spacing w:line="520" w:lineRule="exact"/>
        <w:ind w:firstLine="480" w:firstLineChars="200"/>
        <w:rPr>
          <w:rFonts w:ascii="宋体" w:hAnsi="宋体"/>
          <w:sz w:val="24"/>
          <w:highlight w:val="none"/>
        </w:rPr>
      </w:pPr>
      <w:r>
        <w:rPr>
          <w:rFonts w:hint="eastAsia" w:ascii="宋体" w:hAnsi="宋体"/>
          <w:sz w:val="24"/>
          <w:highlight w:val="none"/>
        </w:rPr>
        <w:t>（6）按照宣布的开标顺序当众开标，公布名称、磋商保证金的递交情况、设计期限、质量标准、及其他内容，并记录在案；</w:t>
      </w:r>
    </w:p>
    <w:p>
      <w:pPr>
        <w:spacing w:line="520" w:lineRule="exact"/>
        <w:ind w:firstLine="480" w:firstLineChars="200"/>
        <w:rPr>
          <w:rFonts w:ascii="宋体" w:hAnsi="宋体"/>
          <w:sz w:val="24"/>
          <w:highlight w:val="none"/>
        </w:rPr>
      </w:pPr>
      <w:r>
        <w:rPr>
          <w:rFonts w:hint="eastAsia" w:ascii="宋体" w:hAnsi="宋体"/>
          <w:sz w:val="24"/>
          <w:highlight w:val="none"/>
        </w:rPr>
        <w:t>（7）采购人代表、监标人、记录人等有关人员在开标记录上签字确认；</w:t>
      </w:r>
    </w:p>
    <w:p>
      <w:pPr>
        <w:spacing w:line="520" w:lineRule="exact"/>
        <w:ind w:firstLine="480" w:firstLineChars="200"/>
        <w:rPr>
          <w:rFonts w:ascii="宋体" w:hAnsi="宋体"/>
          <w:sz w:val="24"/>
          <w:highlight w:val="none"/>
        </w:rPr>
      </w:pPr>
      <w:r>
        <w:rPr>
          <w:rFonts w:hint="eastAsia" w:ascii="宋体" w:hAnsi="宋体"/>
          <w:sz w:val="24"/>
          <w:highlight w:val="none"/>
        </w:rPr>
        <w:t>（8）开标结束。</w:t>
      </w:r>
    </w:p>
    <w:p>
      <w:pPr>
        <w:pStyle w:val="5"/>
        <w:spacing w:line="520" w:lineRule="exact"/>
        <w:rPr>
          <w:highlight w:val="none"/>
        </w:rPr>
      </w:pPr>
      <w:bookmarkStart w:id="352" w:name="_Toc27320"/>
      <w:bookmarkStart w:id="353" w:name="_Toc19172"/>
      <w:bookmarkStart w:id="354" w:name="_Toc10694"/>
      <w:bookmarkStart w:id="355" w:name="_Toc296602450"/>
      <w:r>
        <w:rPr>
          <w:rFonts w:hint="eastAsia"/>
          <w:highlight w:val="none"/>
        </w:rPr>
        <w:t>5.3 开标异议</w:t>
      </w:r>
      <w:bookmarkEnd w:id="352"/>
      <w:bookmarkEnd w:id="353"/>
      <w:bookmarkEnd w:id="354"/>
      <w:bookmarkEnd w:id="355"/>
    </w:p>
    <w:p>
      <w:pPr>
        <w:spacing w:line="520" w:lineRule="exact"/>
        <w:ind w:firstLine="480" w:firstLineChars="200"/>
        <w:rPr>
          <w:rFonts w:ascii="宋体" w:hAnsi="宋体"/>
          <w:sz w:val="24"/>
          <w:highlight w:val="none"/>
        </w:rPr>
      </w:pPr>
      <w:r>
        <w:rPr>
          <w:rFonts w:hint="eastAsia" w:ascii="宋体" w:hAnsi="宋体"/>
          <w:sz w:val="24"/>
          <w:highlight w:val="none"/>
        </w:rPr>
        <w:t>对开标有异议的，应当在开标现场提出，采购人当场作出答复，并制作记录。</w:t>
      </w:r>
    </w:p>
    <w:p>
      <w:pPr>
        <w:pStyle w:val="4"/>
        <w:spacing w:line="520" w:lineRule="exact"/>
        <w:rPr>
          <w:highlight w:val="none"/>
        </w:rPr>
      </w:pPr>
      <w:bookmarkStart w:id="356" w:name="_Toc9286"/>
      <w:bookmarkStart w:id="357" w:name="_Toc23722"/>
      <w:bookmarkStart w:id="358" w:name="_Toc13816"/>
      <w:bookmarkStart w:id="359" w:name="_Toc144974530"/>
      <w:bookmarkStart w:id="360" w:name="_Toc246996206"/>
      <w:bookmarkStart w:id="361" w:name="_Toc247085720"/>
      <w:bookmarkStart w:id="362" w:name="_Toc179632580"/>
      <w:bookmarkStart w:id="363" w:name="_Toc246996949"/>
      <w:bookmarkStart w:id="364" w:name="_Toc152042338"/>
      <w:bookmarkStart w:id="365" w:name="_Toc152045562"/>
      <w:bookmarkStart w:id="366" w:name="_Toc296602451"/>
      <w:r>
        <w:rPr>
          <w:rFonts w:hint="eastAsia"/>
          <w:highlight w:val="none"/>
        </w:rPr>
        <w:t>6. 评标</w:t>
      </w:r>
      <w:bookmarkEnd w:id="356"/>
      <w:bookmarkEnd w:id="357"/>
      <w:bookmarkEnd w:id="358"/>
      <w:bookmarkEnd w:id="359"/>
      <w:bookmarkEnd w:id="360"/>
      <w:bookmarkEnd w:id="361"/>
      <w:bookmarkEnd w:id="362"/>
      <w:bookmarkEnd w:id="363"/>
      <w:bookmarkEnd w:id="364"/>
      <w:bookmarkEnd w:id="365"/>
      <w:bookmarkEnd w:id="366"/>
    </w:p>
    <w:p>
      <w:pPr>
        <w:pStyle w:val="5"/>
        <w:spacing w:line="520" w:lineRule="exact"/>
        <w:rPr>
          <w:highlight w:val="none"/>
        </w:rPr>
      </w:pPr>
      <w:bookmarkStart w:id="367" w:name="_Toc246996950"/>
      <w:bookmarkStart w:id="368" w:name="_Toc246996207"/>
      <w:bookmarkStart w:id="369" w:name="_Toc152045563"/>
      <w:bookmarkStart w:id="370" w:name="_Toc247085721"/>
      <w:bookmarkStart w:id="371" w:name="_Toc144974531"/>
      <w:bookmarkStart w:id="372" w:name="_Toc296602452"/>
      <w:bookmarkStart w:id="373" w:name="_Toc12132"/>
      <w:bookmarkStart w:id="374" w:name="_Toc17082"/>
      <w:bookmarkStart w:id="375" w:name="_Toc152042339"/>
      <w:bookmarkStart w:id="376" w:name="_Toc179632581"/>
      <w:bookmarkStart w:id="377" w:name="_Toc123"/>
      <w:r>
        <w:rPr>
          <w:rFonts w:hint="eastAsia"/>
          <w:highlight w:val="none"/>
        </w:rPr>
        <w:t>6.1 磋商小组</w:t>
      </w:r>
      <w:bookmarkEnd w:id="367"/>
      <w:bookmarkEnd w:id="368"/>
      <w:bookmarkEnd w:id="369"/>
      <w:bookmarkEnd w:id="370"/>
      <w:bookmarkEnd w:id="371"/>
      <w:bookmarkEnd w:id="372"/>
      <w:bookmarkEnd w:id="373"/>
      <w:bookmarkEnd w:id="374"/>
      <w:bookmarkEnd w:id="375"/>
      <w:bookmarkEnd w:id="376"/>
      <w:bookmarkEnd w:id="377"/>
    </w:p>
    <w:p>
      <w:pPr>
        <w:spacing w:line="520" w:lineRule="exact"/>
        <w:ind w:firstLine="480" w:firstLineChars="200"/>
        <w:rPr>
          <w:rFonts w:ascii="宋体" w:hAnsi="宋体"/>
          <w:sz w:val="24"/>
          <w:highlight w:val="none"/>
        </w:rPr>
      </w:pPr>
      <w:r>
        <w:rPr>
          <w:rFonts w:hint="eastAsia" w:ascii="宋体" w:hAnsi="宋体"/>
          <w:sz w:val="24"/>
          <w:highlight w:val="none"/>
        </w:rPr>
        <w:t>6.1.1 评标由采购人依法组建的磋商小组负责。磋商小组由从专家库抽取的以及有关技术、经济等方面的专家组成。磋商小组成员人数以及技术、经济等方面专家的确定方式见须知前附表。</w:t>
      </w:r>
    </w:p>
    <w:p>
      <w:pPr>
        <w:spacing w:line="520" w:lineRule="exact"/>
        <w:ind w:firstLine="480" w:firstLineChars="200"/>
        <w:rPr>
          <w:rFonts w:ascii="宋体" w:hAnsi="宋体"/>
          <w:sz w:val="24"/>
          <w:highlight w:val="none"/>
        </w:rPr>
      </w:pPr>
      <w:r>
        <w:rPr>
          <w:rFonts w:hint="eastAsia" w:ascii="宋体" w:hAnsi="宋体"/>
          <w:sz w:val="24"/>
          <w:highlight w:val="none"/>
        </w:rPr>
        <w:t>6.1.2 磋商小组成员有下列情形之一的，应当回避：</w:t>
      </w:r>
    </w:p>
    <w:p>
      <w:pPr>
        <w:spacing w:line="520" w:lineRule="exact"/>
        <w:ind w:firstLine="480" w:firstLineChars="200"/>
        <w:rPr>
          <w:rFonts w:ascii="宋体" w:hAnsi="宋体"/>
          <w:sz w:val="24"/>
          <w:highlight w:val="none"/>
        </w:rPr>
      </w:pPr>
      <w:bookmarkStart w:id="378" w:name="_Toc179632582"/>
      <w:bookmarkStart w:id="379" w:name="_Toc152045564"/>
      <w:bookmarkStart w:id="380" w:name="_Toc247085722"/>
      <w:bookmarkStart w:id="381" w:name="_Toc152042340"/>
      <w:bookmarkStart w:id="382" w:name="_Toc144974532"/>
      <w:bookmarkStart w:id="383" w:name="_Toc246996208"/>
      <w:bookmarkStart w:id="384" w:name="_Toc246996951"/>
      <w:bookmarkStart w:id="385" w:name="_Toc296602453"/>
      <w:r>
        <w:rPr>
          <w:rFonts w:hint="eastAsia" w:ascii="宋体" w:hAnsi="宋体"/>
          <w:sz w:val="24"/>
          <w:highlight w:val="none"/>
        </w:rPr>
        <w:t>（1）采购人或供应商的主要负责人的近亲属；</w:t>
      </w:r>
    </w:p>
    <w:p>
      <w:pPr>
        <w:spacing w:line="520" w:lineRule="exact"/>
        <w:ind w:firstLine="480" w:firstLineChars="200"/>
        <w:rPr>
          <w:rFonts w:ascii="宋体" w:hAnsi="宋体"/>
          <w:sz w:val="24"/>
          <w:highlight w:val="none"/>
        </w:rPr>
      </w:pPr>
      <w:r>
        <w:rPr>
          <w:rFonts w:hint="eastAsia" w:ascii="宋体" w:hAnsi="宋体"/>
          <w:sz w:val="24"/>
          <w:highlight w:val="none"/>
        </w:rPr>
        <w:t>（2）项目主管部门或者行政监督部门的人员；</w:t>
      </w:r>
    </w:p>
    <w:p>
      <w:pPr>
        <w:spacing w:line="520" w:lineRule="exact"/>
        <w:ind w:firstLine="480" w:firstLineChars="200"/>
        <w:rPr>
          <w:rFonts w:ascii="宋体" w:hAnsi="宋体"/>
          <w:sz w:val="24"/>
          <w:highlight w:val="none"/>
        </w:rPr>
      </w:pPr>
      <w:r>
        <w:rPr>
          <w:rFonts w:hint="eastAsia" w:ascii="宋体" w:hAnsi="宋体"/>
          <w:sz w:val="24"/>
          <w:highlight w:val="none"/>
        </w:rPr>
        <w:t>（3）与供应商有经济利益关系，可能影响对投标公正评审的；</w:t>
      </w:r>
    </w:p>
    <w:p>
      <w:pPr>
        <w:spacing w:line="520" w:lineRule="exact"/>
        <w:ind w:firstLine="480" w:firstLineChars="200"/>
        <w:rPr>
          <w:rFonts w:ascii="宋体" w:hAnsi="宋体"/>
          <w:sz w:val="24"/>
          <w:highlight w:val="none"/>
        </w:rPr>
      </w:pPr>
      <w:r>
        <w:rPr>
          <w:rFonts w:hint="eastAsia" w:ascii="宋体" w:hAnsi="宋体"/>
          <w:sz w:val="24"/>
          <w:highlight w:val="none"/>
        </w:rPr>
        <w:t>（4）曾因在采购、竞争性磋商以及其他与招标采购有关活动中从事违法行为而受过行政处罚或刑事处罚的。</w:t>
      </w:r>
    </w:p>
    <w:p>
      <w:pPr>
        <w:pStyle w:val="5"/>
        <w:spacing w:line="520" w:lineRule="exact"/>
        <w:rPr>
          <w:highlight w:val="none"/>
        </w:rPr>
      </w:pPr>
      <w:bookmarkStart w:id="386" w:name="_Toc8905"/>
      <w:bookmarkStart w:id="387" w:name="_Toc8658"/>
      <w:bookmarkStart w:id="388" w:name="_Toc3377"/>
      <w:r>
        <w:rPr>
          <w:rFonts w:hint="eastAsia"/>
          <w:highlight w:val="none"/>
        </w:rPr>
        <w:t>6.2 评标原则</w:t>
      </w:r>
      <w:bookmarkEnd w:id="378"/>
      <w:bookmarkEnd w:id="379"/>
      <w:bookmarkEnd w:id="380"/>
      <w:bookmarkEnd w:id="381"/>
      <w:bookmarkEnd w:id="382"/>
      <w:bookmarkEnd w:id="383"/>
      <w:bookmarkEnd w:id="384"/>
      <w:bookmarkEnd w:id="385"/>
      <w:bookmarkEnd w:id="386"/>
      <w:bookmarkEnd w:id="387"/>
      <w:bookmarkEnd w:id="388"/>
    </w:p>
    <w:p>
      <w:pPr>
        <w:spacing w:line="520" w:lineRule="exact"/>
        <w:ind w:firstLine="480" w:firstLineChars="200"/>
        <w:rPr>
          <w:rFonts w:ascii="宋体" w:hAnsi="宋体"/>
          <w:sz w:val="24"/>
          <w:highlight w:val="none"/>
        </w:rPr>
      </w:pPr>
      <w:r>
        <w:rPr>
          <w:rFonts w:hint="eastAsia" w:ascii="宋体" w:hAnsi="宋体"/>
          <w:sz w:val="24"/>
          <w:highlight w:val="none"/>
        </w:rPr>
        <w:t>评标活动遵循公平、公正、科学和择优的原则。</w:t>
      </w:r>
    </w:p>
    <w:p>
      <w:pPr>
        <w:pStyle w:val="5"/>
        <w:spacing w:line="520" w:lineRule="exact"/>
        <w:rPr>
          <w:highlight w:val="none"/>
        </w:rPr>
      </w:pPr>
      <w:bookmarkStart w:id="389" w:name="_Toc144974533"/>
      <w:bookmarkStart w:id="390" w:name="_Toc246996209"/>
      <w:bookmarkStart w:id="391" w:name="_Toc296602454"/>
      <w:bookmarkStart w:id="392" w:name="_Toc3901"/>
      <w:bookmarkStart w:id="393" w:name="_Toc179632583"/>
      <w:bookmarkStart w:id="394" w:name="_Toc152042341"/>
      <w:bookmarkStart w:id="395" w:name="_Toc246996952"/>
      <w:bookmarkStart w:id="396" w:name="_Toc247085723"/>
      <w:bookmarkStart w:id="397" w:name="_Toc15504"/>
      <w:bookmarkStart w:id="398" w:name="_Toc152045565"/>
      <w:bookmarkStart w:id="399" w:name="_Toc26205"/>
      <w:r>
        <w:rPr>
          <w:rFonts w:hint="eastAsia"/>
          <w:highlight w:val="none"/>
        </w:rPr>
        <w:t>6.3 评标</w:t>
      </w:r>
      <w:bookmarkEnd w:id="389"/>
      <w:bookmarkEnd w:id="390"/>
      <w:bookmarkEnd w:id="391"/>
      <w:bookmarkEnd w:id="392"/>
      <w:bookmarkEnd w:id="393"/>
      <w:bookmarkEnd w:id="394"/>
      <w:bookmarkEnd w:id="395"/>
      <w:bookmarkEnd w:id="396"/>
      <w:bookmarkEnd w:id="397"/>
      <w:bookmarkEnd w:id="398"/>
      <w:bookmarkEnd w:id="399"/>
    </w:p>
    <w:p>
      <w:pPr>
        <w:spacing w:line="520" w:lineRule="exact"/>
        <w:ind w:firstLine="480" w:firstLineChars="200"/>
        <w:rPr>
          <w:rFonts w:ascii="宋体" w:hAnsi="宋体"/>
          <w:sz w:val="24"/>
          <w:highlight w:val="none"/>
        </w:rPr>
      </w:pPr>
      <w:r>
        <w:rPr>
          <w:rFonts w:hint="eastAsia" w:ascii="宋体" w:hAnsi="宋体"/>
          <w:sz w:val="24"/>
          <w:highlight w:val="none"/>
        </w:rPr>
        <w:t>磋商小组按照第三章“评标办法”规定的方法、评审因素、标准和程序对响应文件进行评审。第三章“评标办法”没有规定的方法、评审因素和标准，不作为评标依据。</w:t>
      </w:r>
    </w:p>
    <w:p>
      <w:pPr>
        <w:pStyle w:val="4"/>
        <w:spacing w:line="520" w:lineRule="exact"/>
        <w:rPr>
          <w:highlight w:val="none"/>
        </w:rPr>
      </w:pPr>
      <w:bookmarkStart w:id="400" w:name="_Toc152045566"/>
      <w:bookmarkStart w:id="401" w:name="_Toc144974534"/>
      <w:bookmarkStart w:id="402" w:name="_Toc246996953"/>
      <w:bookmarkStart w:id="403" w:name="_Toc246996210"/>
      <w:bookmarkStart w:id="404" w:name="_Toc29235"/>
      <w:bookmarkStart w:id="405" w:name="_Toc179632584"/>
      <w:bookmarkStart w:id="406" w:name="_Toc11257"/>
      <w:bookmarkStart w:id="407" w:name="_Toc247085724"/>
      <w:bookmarkStart w:id="408" w:name="_Toc152042342"/>
      <w:bookmarkStart w:id="409" w:name="_Toc6787"/>
      <w:bookmarkStart w:id="410" w:name="_Toc296602455"/>
      <w:r>
        <w:rPr>
          <w:rFonts w:hint="eastAsia"/>
          <w:highlight w:val="none"/>
        </w:rPr>
        <w:t>7. 合同授予</w:t>
      </w:r>
      <w:bookmarkEnd w:id="400"/>
      <w:bookmarkEnd w:id="401"/>
      <w:bookmarkEnd w:id="402"/>
      <w:bookmarkEnd w:id="403"/>
      <w:bookmarkEnd w:id="404"/>
      <w:bookmarkEnd w:id="405"/>
      <w:bookmarkEnd w:id="406"/>
      <w:bookmarkEnd w:id="407"/>
      <w:bookmarkEnd w:id="408"/>
      <w:bookmarkEnd w:id="409"/>
      <w:bookmarkEnd w:id="410"/>
    </w:p>
    <w:p>
      <w:pPr>
        <w:pStyle w:val="5"/>
        <w:spacing w:line="520" w:lineRule="exact"/>
        <w:rPr>
          <w:highlight w:val="none"/>
        </w:rPr>
      </w:pPr>
      <w:bookmarkStart w:id="411" w:name="_Toc23255"/>
      <w:bookmarkStart w:id="412" w:name="_Toc152045567"/>
      <w:bookmarkStart w:id="413" w:name="_Toc144974535"/>
      <w:bookmarkStart w:id="414" w:name="_Toc179632585"/>
      <w:bookmarkStart w:id="415" w:name="_Toc1404"/>
      <w:bookmarkStart w:id="416" w:name="_Toc246996954"/>
      <w:bookmarkStart w:id="417" w:name="_Toc10564"/>
      <w:bookmarkStart w:id="418" w:name="_Toc247085725"/>
      <w:bookmarkStart w:id="419" w:name="_Toc152042343"/>
      <w:bookmarkStart w:id="420" w:name="_Toc296602456"/>
      <w:bookmarkStart w:id="421" w:name="_Toc246996211"/>
      <w:r>
        <w:rPr>
          <w:rFonts w:hint="eastAsia"/>
          <w:highlight w:val="none"/>
        </w:rPr>
        <w:t>7.1 定标方式</w:t>
      </w:r>
      <w:bookmarkEnd w:id="411"/>
      <w:bookmarkEnd w:id="412"/>
      <w:bookmarkEnd w:id="413"/>
      <w:bookmarkEnd w:id="414"/>
      <w:bookmarkEnd w:id="415"/>
      <w:bookmarkEnd w:id="416"/>
      <w:bookmarkEnd w:id="417"/>
      <w:bookmarkEnd w:id="418"/>
      <w:bookmarkEnd w:id="419"/>
      <w:bookmarkEnd w:id="420"/>
      <w:bookmarkEnd w:id="421"/>
    </w:p>
    <w:p>
      <w:pPr>
        <w:pStyle w:val="12"/>
        <w:spacing w:line="480" w:lineRule="exact"/>
        <w:ind w:firstLine="420"/>
        <w:textAlignment w:val="center"/>
        <w:rPr>
          <w:rFonts w:hAnsi="宋体"/>
          <w:szCs w:val="24"/>
          <w:highlight w:val="none"/>
        </w:rPr>
      </w:pPr>
      <w:r>
        <w:rPr>
          <w:rFonts w:hint="eastAsia" w:ascii="宋体" w:hAnsi="宋体"/>
          <w:sz w:val="24"/>
          <w:szCs w:val="24"/>
          <w:highlight w:val="none"/>
        </w:rPr>
        <w:t>7.1.1</w:t>
      </w:r>
      <w:r>
        <w:rPr>
          <w:rFonts w:hint="eastAsia" w:hAnsi="宋体"/>
          <w:sz w:val="24"/>
          <w:szCs w:val="24"/>
          <w:highlight w:val="none"/>
        </w:rPr>
        <w:t>评标时，评标委员会各成员应当独立对每个供应商的响应文件进行评价，并汇总每个供应商的得分。评标结果按评审后得分由高到低顺序排列，</w:t>
      </w:r>
      <w:r>
        <w:rPr>
          <w:rFonts w:hint="eastAsia" w:hAnsi="宋体"/>
          <w:bCs/>
          <w:sz w:val="24"/>
          <w:szCs w:val="24"/>
          <w:highlight w:val="none"/>
        </w:rPr>
        <w:t>推荐排序前三名的供应商为成交候选人。</w:t>
      </w:r>
    </w:p>
    <w:p>
      <w:pPr>
        <w:spacing w:line="520" w:lineRule="exact"/>
        <w:ind w:firstLine="480" w:firstLineChars="200"/>
        <w:rPr>
          <w:rFonts w:ascii="宋体" w:hAnsi="宋体"/>
          <w:sz w:val="24"/>
          <w:highlight w:val="none"/>
        </w:rPr>
      </w:pPr>
      <w:r>
        <w:rPr>
          <w:rFonts w:hint="eastAsia" w:ascii="宋体" w:hAnsi="宋体"/>
          <w:sz w:val="24"/>
          <w:highlight w:val="none"/>
        </w:rPr>
        <w:t>7.1.2评审得分相同的，按照技术指标优劣顺序推荐。</w:t>
      </w:r>
    </w:p>
    <w:p>
      <w:pPr>
        <w:spacing w:line="520" w:lineRule="exact"/>
        <w:ind w:firstLine="480" w:firstLineChars="200"/>
        <w:rPr>
          <w:rFonts w:ascii="宋体" w:hAnsi="宋体"/>
          <w:sz w:val="24"/>
          <w:highlight w:val="none"/>
        </w:rPr>
      </w:pPr>
      <w:r>
        <w:rPr>
          <w:rFonts w:hint="eastAsia" w:ascii="宋体" w:hAnsi="宋体"/>
          <w:sz w:val="24"/>
          <w:highlight w:val="none"/>
        </w:rPr>
        <w:t>7.1.3编制评审报告</w:t>
      </w:r>
    </w:p>
    <w:p>
      <w:pPr>
        <w:spacing w:line="520" w:lineRule="exact"/>
        <w:ind w:firstLine="480" w:firstLineChars="200"/>
        <w:rPr>
          <w:rFonts w:ascii="宋体" w:hAnsi="宋体"/>
          <w:sz w:val="24"/>
          <w:highlight w:val="none"/>
        </w:rPr>
      </w:pPr>
      <w:r>
        <w:rPr>
          <w:rFonts w:hint="eastAsia" w:ascii="宋体" w:hAnsi="宋体"/>
          <w:sz w:val="24"/>
          <w:highlight w:val="none"/>
        </w:rPr>
        <w:t>磋商小组向采购人提交评审报告。评审报告应当由全体磋商小组成员签字。评审报告应当包括以下内容：</w:t>
      </w:r>
    </w:p>
    <w:p>
      <w:pPr>
        <w:spacing w:line="520" w:lineRule="exact"/>
        <w:ind w:firstLine="480" w:firstLineChars="200"/>
        <w:rPr>
          <w:rFonts w:ascii="宋体" w:hAnsi="宋体"/>
          <w:sz w:val="24"/>
          <w:highlight w:val="none"/>
        </w:rPr>
      </w:pPr>
      <w:r>
        <w:rPr>
          <w:rFonts w:hint="eastAsia" w:ascii="宋体" w:hAnsi="宋体"/>
          <w:sz w:val="24"/>
          <w:highlight w:val="none"/>
        </w:rPr>
        <w:t>（1）供应商参加采购活动的具体方式和相关情况；</w:t>
      </w:r>
    </w:p>
    <w:p>
      <w:pPr>
        <w:spacing w:line="520" w:lineRule="exact"/>
        <w:ind w:firstLine="480" w:firstLineChars="200"/>
        <w:rPr>
          <w:rFonts w:ascii="宋体" w:hAnsi="宋体"/>
          <w:sz w:val="24"/>
          <w:highlight w:val="none"/>
        </w:rPr>
      </w:pPr>
      <w:r>
        <w:rPr>
          <w:rFonts w:hint="eastAsia" w:ascii="宋体" w:hAnsi="宋体"/>
          <w:sz w:val="24"/>
          <w:highlight w:val="none"/>
        </w:rPr>
        <w:t>（2）响应文件开启日期和地点；</w:t>
      </w:r>
    </w:p>
    <w:p>
      <w:pPr>
        <w:spacing w:line="520" w:lineRule="exact"/>
        <w:ind w:firstLine="480" w:firstLineChars="200"/>
        <w:rPr>
          <w:rFonts w:ascii="宋体" w:hAnsi="宋体"/>
          <w:sz w:val="24"/>
          <w:highlight w:val="none"/>
        </w:rPr>
      </w:pPr>
      <w:r>
        <w:rPr>
          <w:rFonts w:hint="eastAsia" w:ascii="宋体" w:hAnsi="宋体"/>
          <w:sz w:val="24"/>
          <w:highlight w:val="none"/>
        </w:rPr>
        <w:t>（3）获取磋商文件的供应商名单和磋商小组成员名单；</w:t>
      </w:r>
    </w:p>
    <w:p>
      <w:pPr>
        <w:spacing w:line="520" w:lineRule="exact"/>
        <w:ind w:firstLine="480" w:firstLineChars="200"/>
        <w:rPr>
          <w:rFonts w:ascii="宋体" w:hAnsi="宋体"/>
          <w:sz w:val="24"/>
          <w:highlight w:val="none"/>
        </w:rPr>
      </w:pPr>
      <w:r>
        <w:rPr>
          <w:rFonts w:hint="eastAsia" w:ascii="宋体" w:hAnsi="宋体"/>
          <w:sz w:val="24"/>
          <w:highlight w:val="none"/>
        </w:rPr>
        <w:t>（4）评审情况记录和说明，包括对供应商的资格审查情况、供应商响应文件评审情况、磋商情况等；</w:t>
      </w:r>
    </w:p>
    <w:p>
      <w:pPr>
        <w:spacing w:line="520" w:lineRule="exact"/>
        <w:ind w:firstLine="480" w:firstLineChars="200"/>
        <w:rPr>
          <w:rFonts w:ascii="宋体" w:hAnsi="宋体"/>
          <w:sz w:val="24"/>
          <w:highlight w:val="none"/>
        </w:rPr>
      </w:pPr>
      <w:r>
        <w:rPr>
          <w:rFonts w:hint="eastAsia" w:ascii="宋体" w:hAnsi="宋体"/>
          <w:sz w:val="24"/>
          <w:highlight w:val="none"/>
        </w:rPr>
        <w:t>（5）提出的成交候选供应商的排序名单及理由。</w:t>
      </w:r>
    </w:p>
    <w:p>
      <w:pPr>
        <w:spacing w:line="520" w:lineRule="exact"/>
        <w:ind w:firstLine="480" w:firstLineChars="200"/>
        <w:rPr>
          <w:rFonts w:ascii="宋体" w:hAnsi="宋体"/>
          <w:sz w:val="28"/>
          <w:szCs w:val="28"/>
          <w:highlight w:val="none"/>
        </w:rPr>
      </w:pPr>
      <w:r>
        <w:rPr>
          <w:rFonts w:hint="eastAsia" w:ascii="宋体" w:hAnsi="宋体"/>
          <w:sz w:val="24"/>
          <w:highlight w:val="none"/>
        </w:rPr>
        <w:t>7.1.4评审报告应当由磋商小组全体人员签字认可。磋商小组成员对评审报告有异议的，磋商小组按照少数服从多数的原则确定入成交候选供应商排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5"/>
        <w:spacing w:line="520" w:lineRule="exact"/>
        <w:rPr>
          <w:highlight w:val="none"/>
        </w:rPr>
      </w:pPr>
      <w:bookmarkStart w:id="422" w:name="_Toc17384"/>
      <w:bookmarkStart w:id="423" w:name="_Toc13819"/>
      <w:bookmarkStart w:id="424" w:name="_Toc296602457"/>
      <w:bookmarkStart w:id="425" w:name="_Toc7602"/>
      <w:r>
        <w:rPr>
          <w:rFonts w:hint="eastAsia"/>
          <w:highlight w:val="none"/>
        </w:rPr>
        <w:t>7.2 成交候选人公示</w:t>
      </w:r>
      <w:bookmarkEnd w:id="422"/>
      <w:bookmarkEnd w:id="423"/>
      <w:bookmarkEnd w:id="424"/>
      <w:bookmarkEnd w:id="425"/>
    </w:p>
    <w:p>
      <w:pPr>
        <w:spacing w:line="520" w:lineRule="exact"/>
        <w:ind w:firstLine="480" w:firstLineChars="200"/>
        <w:rPr>
          <w:rFonts w:ascii="宋体" w:hAnsi="宋体"/>
          <w:sz w:val="24"/>
          <w:highlight w:val="none"/>
        </w:rPr>
      </w:pPr>
      <w:r>
        <w:rPr>
          <w:rFonts w:hint="eastAsia" w:ascii="宋体" w:hAnsi="宋体"/>
          <w:sz w:val="24"/>
          <w:highlight w:val="none"/>
        </w:rPr>
        <w:t>在中国采购与招标网公示成交候选人。</w:t>
      </w:r>
    </w:p>
    <w:p>
      <w:pPr>
        <w:pStyle w:val="5"/>
        <w:spacing w:line="520" w:lineRule="exact"/>
        <w:rPr>
          <w:highlight w:val="none"/>
        </w:rPr>
      </w:pPr>
      <w:bookmarkStart w:id="426" w:name="_Toc246996955"/>
      <w:bookmarkStart w:id="427" w:name="_Toc247085726"/>
      <w:bookmarkStart w:id="428" w:name="_Toc18569"/>
      <w:bookmarkStart w:id="429" w:name="_Toc144974536"/>
      <w:bookmarkStart w:id="430" w:name="_Toc152045568"/>
      <w:bookmarkStart w:id="431" w:name="_Toc246996212"/>
      <w:bookmarkStart w:id="432" w:name="_Toc15250"/>
      <w:bookmarkStart w:id="433" w:name="_Toc179632586"/>
      <w:bookmarkStart w:id="434" w:name="_Toc7478"/>
      <w:bookmarkStart w:id="435" w:name="_Toc296602458"/>
      <w:bookmarkStart w:id="436" w:name="_Toc152042344"/>
      <w:r>
        <w:rPr>
          <w:rFonts w:hint="eastAsia"/>
          <w:highlight w:val="none"/>
        </w:rPr>
        <w:t>7.3 成交通知</w:t>
      </w:r>
      <w:bookmarkEnd w:id="426"/>
      <w:bookmarkEnd w:id="427"/>
      <w:bookmarkEnd w:id="428"/>
      <w:bookmarkEnd w:id="429"/>
      <w:bookmarkEnd w:id="430"/>
      <w:bookmarkEnd w:id="431"/>
      <w:bookmarkEnd w:id="432"/>
      <w:bookmarkEnd w:id="433"/>
      <w:bookmarkEnd w:id="434"/>
      <w:bookmarkEnd w:id="435"/>
      <w:bookmarkEnd w:id="436"/>
    </w:p>
    <w:p>
      <w:pPr>
        <w:spacing w:line="520" w:lineRule="exact"/>
        <w:ind w:firstLine="480" w:firstLineChars="200"/>
        <w:rPr>
          <w:rFonts w:ascii="宋体" w:hAnsi="宋体"/>
          <w:sz w:val="24"/>
          <w:highlight w:val="none"/>
        </w:rPr>
      </w:pPr>
      <w:r>
        <w:rPr>
          <w:rFonts w:hint="eastAsia" w:ascii="宋体" w:hAnsi="宋体"/>
          <w:sz w:val="24"/>
          <w:highlight w:val="none"/>
        </w:rPr>
        <w:t>在投标有效期内，采购人以书面形式向成交供应商发出成交通知书，同时将中标结果通知未中标的供应商。</w:t>
      </w:r>
    </w:p>
    <w:p>
      <w:pPr>
        <w:pStyle w:val="5"/>
        <w:spacing w:line="520" w:lineRule="exact"/>
        <w:rPr>
          <w:highlight w:val="none"/>
        </w:rPr>
      </w:pPr>
      <w:bookmarkStart w:id="437" w:name="_Toc152042345"/>
      <w:bookmarkStart w:id="438" w:name="_Toc23497"/>
      <w:bookmarkStart w:id="439" w:name="_Toc296602459"/>
      <w:bookmarkStart w:id="440" w:name="_Toc246996956"/>
      <w:bookmarkStart w:id="441" w:name="_Toc21348"/>
      <w:bookmarkStart w:id="442" w:name="_Toc144974537"/>
      <w:bookmarkStart w:id="443" w:name="_Toc179632587"/>
      <w:bookmarkStart w:id="444" w:name="_Toc152045569"/>
      <w:bookmarkStart w:id="445" w:name="_Toc246996213"/>
      <w:bookmarkStart w:id="446" w:name="_Toc22620"/>
      <w:bookmarkStart w:id="447" w:name="_Toc247085727"/>
      <w:r>
        <w:rPr>
          <w:rFonts w:hint="eastAsia"/>
          <w:highlight w:val="none"/>
        </w:rPr>
        <w:t>7.4 履约担保</w:t>
      </w:r>
      <w:bookmarkEnd w:id="437"/>
      <w:bookmarkEnd w:id="438"/>
      <w:bookmarkEnd w:id="439"/>
      <w:bookmarkEnd w:id="440"/>
      <w:bookmarkEnd w:id="441"/>
      <w:bookmarkEnd w:id="442"/>
      <w:bookmarkEnd w:id="443"/>
      <w:bookmarkEnd w:id="444"/>
      <w:bookmarkEnd w:id="445"/>
      <w:bookmarkEnd w:id="446"/>
      <w:bookmarkEnd w:id="447"/>
    </w:p>
    <w:p>
      <w:pPr>
        <w:pStyle w:val="5"/>
        <w:spacing w:line="520" w:lineRule="exact"/>
        <w:rPr>
          <w:rFonts w:hAnsi="宋体"/>
          <w:b w:val="0"/>
          <w:bCs w:val="0"/>
          <w:sz w:val="24"/>
          <w:highlight w:val="none"/>
        </w:rPr>
      </w:pPr>
      <w:bookmarkStart w:id="448" w:name="_Toc152042346"/>
      <w:bookmarkStart w:id="449" w:name="_Toc246996214"/>
      <w:bookmarkStart w:id="450" w:name="_Toc179632588"/>
      <w:bookmarkStart w:id="451" w:name="_Toc247085728"/>
      <w:bookmarkStart w:id="452" w:name="_Toc152045570"/>
      <w:bookmarkStart w:id="453" w:name="_Toc296602460"/>
      <w:bookmarkStart w:id="454" w:name="_Toc246996957"/>
      <w:bookmarkStart w:id="455" w:name="_Toc144974538"/>
      <w:bookmarkStart w:id="456" w:name="_Toc1288"/>
      <w:bookmarkStart w:id="457" w:name="_Toc5335"/>
      <w:bookmarkStart w:id="458" w:name="_Toc9180"/>
      <w:r>
        <w:rPr>
          <w:rFonts w:hint="eastAsia" w:hAnsi="宋体"/>
          <w:b w:val="0"/>
          <w:bCs w:val="0"/>
          <w:sz w:val="24"/>
          <w:highlight w:val="none"/>
        </w:rPr>
        <w:t>签订合同前，乙方向甲方交纳成交金额的10%作为履约保证金，合同期间，乙方无违约行为，合同到期20个工作日内，甲方无息退还。</w:t>
      </w:r>
    </w:p>
    <w:p>
      <w:pPr>
        <w:pStyle w:val="5"/>
        <w:spacing w:line="520" w:lineRule="exact"/>
        <w:rPr>
          <w:highlight w:val="none"/>
        </w:rPr>
      </w:pPr>
      <w:r>
        <w:rPr>
          <w:rFonts w:hint="eastAsia"/>
          <w:highlight w:val="none"/>
        </w:rPr>
        <w:t>7.5 签订合同</w:t>
      </w:r>
      <w:bookmarkEnd w:id="448"/>
      <w:bookmarkEnd w:id="449"/>
      <w:bookmarkEnd w:id="450"/>
      <w:bookmarkEnd w:id="451"/>
      <w:bookmarkEnd w:id="452"/>
      <w:bookmarkEnd w:id="453"/>
      <w:bookmarkEnd w:id="454"/>
      <w:bookmarkEnd w:id="455"/>
      <w:bookmarkEnd w:id="456"/>
      <w:bookmarkEnd w:id="457"/>
      <w:bookmarkEnd w:id="458"/>
    </w:p>
    <w:p>
      <w:pPr>
        <w:spacing w:line="520" w:lineRule="exact"/>
        <w:ind w:firstLine="480" w:firstLineChars="200"/>
        <w:rPr>
          <w:rFonts w:ascii="宋体" w:hAnsi="宋体"/>
          <w:sz w:val="24"/>
          <w:highlight w:val="none"/>
        </w:rPr>
      </w:pPr>
      <w:r>
        <w:rPr>
          <w:rFonts w:hint="eastAsia" w:ascii="宋体" w:hAnsi="宋体"/>
          <w:sz w:val="24"/>
          <w:highlight w:val="none"/>
        </w:rPr>
        <w:t>7.5.1采购人和成交供应商应当自成交通知书发出之日起30日内，根据磋商文件和成交的响应文件订立书面合同。成交无正当理由拒签合同的，采购人取消其中标资格，其磋商保证金不予退还；给采购人造成的损失超过磋商保证金数额的，成交还应当对超过部分予以赔偿。</w:t>
      </w:r>
    </w:p>
    <w:p>
      <w:pPr>
        <w:spacing w:line="520" w:lineRule="exact"/>
        <w:ind w:firstLine="480" w:firstLineChars="200"/>
        <w:rPr>
          <w:rFonts w:ascii="宋体" w:hAnsi="宋体"/>
          <w:sz w:val="24"/>
          <w:highlight w:val="none"/>
        </w:rPr>
      </w:pPr>
      <w:r>
        <w:rPr>
          <w:rFonts w:hint="eastAsia" w:ascii="宋体" w:hAnsi="宋体"/>
          <w:sz w:val="24"/>
          <w:highlight w:val="none"/>
        </w:rPr>
        <w:t>7.5.2 发出成交候选人后，采购人无正当理由拒签合同的，采购人向成交退还磋商保证金；给成交造成损失的，还应当赔偿损失。</w:t>
      </w:r>
    </w:p>
    <w:p>
      <w:pPr>
        <w:pStyle w:val="4"/>
        <w:spacing w:line="520" w:lineRule="exact"/>
        <w:rPr>
          <w:highlight w:val="none"/>
        </w:rPr>
      </w:pPr>
      <w:bookmarkStart w:id="459" w:name="_Toc28602"/>
      <w:bookmarkStart w:id="460" w:name="_Toc6362"/>
      <w:bookmarkStart w:id="461" w:name="_Toc168"/>
      <w:bookmarkStart w:id="462" w:name="_Toc296602461"/>
      <w:r>
        <w:rPr>
          <w:rFonts w:hint="eastAsia"/>
          <w:highlight w:val="none"/>
        </w:rPr>
        <w:t>8. 重新采购</w:t>
      </w:r>
      <w:bookmarkEnd w:id="459"/>
      <w:bookmarkEnd w:id="460"/>
      <w:bookmarkEnd w:id="461"/>
    </w:p>
    <w:p>
      <w:pPr>
        <w:spacing w:line="520" w:lineRule="exact"/>
        <w:ind w:firstLine="480" w:firstLineChars="200"/>
        <w:rPr>
          <w:rFonts w:ascii="宋体" w:hAnsi="宋体"/>
          <w:sz w:val="24"/>
          <w:highlight w:val="none"/>
        </w:rPr>
      </w:pPr>
      <w:r>
        <w:rPr>
          <w:rFonts w:hint="eastAsia" w:ascii="宋体" w:hAnsi="宋体"/>
          <w:sz w:val="24"/>
          <w:highlight w:val="none"/>
        </w:rPr>
        <w:t>有下列情形之一的，采购人将重新采购：</w:t>
      </w:r>
    </w:p>
    <w:p>
      <w:pPr>
        <w:spacing w:line="520" w:lineRule="exact"/>
        <w:ind w:firstLine="480" w:firstLineChars="200"/>
        <w:rPr>
          <w:rFonts w:ascii="宋体" w:hAnsi="宋体"/>
          <w:sz w:val="24"/>
          <w:highlight w:val="none"/>
        </w:rPr>
      </w:pPr>
      <w:r>
        <w:rPr>
          <w:rFonts w:hint="eastAsia" w:ascii="宋体" w:hAnsi="宋体"/>
          <w:sz w:val="24"/>
          <w:highlight w:val="none"/>
        </w:rPr>
        <w:t>8.1在投标截止时间时提交响应文件的供应商少于3个的；</w:t>
      </w:r>
    </w:p>
    <w:p>
      <w:pPr>
        <w:spacing w:line="520" w:lineRule="exact"/>
        <w:ind w:firstLine="480" w:firstLineChars="200"/>
        <w:rPr>
          <w:rFonts w:ascii="宋体" w:hAnsi="宋体"/>
          <w:sz w:val="24"/>
          <w:highlight w:val="none"/>
        </w:rPr>
      </w:pPr>
      <w:r>
        <w:rPr>
          <w:rFonts w:hint="eastAsia" w:ascii="宋体" w:hAnsi="宋体"/>
          <w:sz w:val="24"/>
          <w:highlight w:val="none"/>
        </w:rPr>
        <w:t>8.2所有响应文件均被作为无效处理的。</w:t>
      </w:r>
    </w:p>
    <w:p>
      <w:pPr>
        <w:pStyle w:val="4"/>
        <w:spacing w:line="520" w:lineRule="exact"/>
        <w:rPr>
          <w:highlight w:val="none"/>
        </w:rPr>
      </w:pPr>
      <w:bookmarkStart w:id="463" w:name="_Toc3882"/>
      <w:bookmarkStart w:id="464" w:name="_Toc17772"/>
      <w:bookmarkStart w:id="465" w:name="_Toc5586"/>
      <w:r>
        <w:rPr>
          <w:rFonts w:hint="eastAsia"/>
          <w:highlight w:val="none"/>
        </w:rPr>
        <w:t>9、纪律和监督</w:t>
      </w:r>
      <w:bookmarkEnd w:id="462"/>
      <w:bookmarkEnd w:id="463"/>
      <w:bookmarkEnd w:id="464"/>
      <w:bookmarkEnd w:id="465"/>
    </w:p>
    <w:p>
      <w:pPr>
        <w:pStyle w:val="5"/>
        <w:spacing w:line="520" w:lineRule="exact"/>
        <w:rPr>
          <w:highlight w:val="none"/>
        </w:rPr>
      </w:pPr>
      <w:bookmarkStart w:id="466" w:name="_Toc3654"/>
      <w:bookmarkStart w:id="467" w:name="_Toc296590983"/>
      <w:bookmarkStart w:id="468" w:name="_Toc246996962"/>
      <w:bookmarkStart w:id="469" w:name="_Toc247085733"/>
      <w:bookmarkStart w:id="470" w:name="_Toc152045575"/>
      <w:bookmarkStart w:id="471" w:name="_Toc179632593"/>
      <w:bookmarkStart w:id="472" w:name="_Toc246996219"/>
      <w:bookmarkStart w:id="473" w:name="_Toc144974543"/>
      <w:bookmarkStart w:id="474" w:name="_Toc4464"/>
      <w:bookmarkStart w:id="475" w:name="_Toc152042351"/>
      <w:bookmarkStart w:id="476" w:name="_Toc296602462"/>
      <w:bookmarkStart w:id="477" w:name="_Toc6512"/>
      <w:r>
        <w:rPr>
          <w:rFonts w:hint="eastAsia"/>
          <w:highlight w:val="none"/>
        </w:rPr>
        <w:t>9.1 对采购人的纪律要求</w:t>
      </w:r>
      <w:bookmarkEnd w:id="466"/>
      <w:bookmarkEnd w:id="467"/>
      <w:bookmarkEnd w:id="468"/>
      <w:bookmarkEnd w:id="469"/>
      <w:bookmarkEnd w:id="470"/>
      <w:bookmarkEnd w:id="471"/>
      <w:bookmarkEnd w:id="472"/>
      <w:bookmarkEnd w:id="473"/>
      <w:bookmarkEnd w:id="474"/>
      <w:bookmarkEnd w:id="475"/>
      <w:bookmarkEnd w:id="476"/>
      <w:bookmarkEnd w:id="477"/>
    </w:p>
    <w:p>
      <w:pPr>
        <w:spacing w:line="520" w:lineRule="exact"/>
        <w:ind w:firstLine="480" w:firstLineChars="200"/>
        <w:rPr>
          <w:rFonts w:ascii="宋体" w:hAnsi="宋体"/>
          <w:sz w:val="24"/>
          <w:highlight w:val="none"/>
        </w:rPr>
      </w:pPr>
      <w:r>
        <w:rPr>
          <w:rFonts w:hint="eastAsia" w:ascii="宋体" w:hAnsi="宋体"/>
          <w:sz w:val="24"/>
          <w:highlight w:val="none"/>
        </w:rPr>
        <w:t>采购人不得泄漏招标投标活动中应当保密的情况和资料，不得与串通损害国家利益、社会公共利益或者他人合法权益。</w:t>
      </w:r>
    </w:p>
    <w:p>
      <w:pPr>
        <w:pStyle w:val="5"/>
        <w:spacing w:line="520" w:lineRule="exact"/>
        <w:rPr>
          <w:highlight w:val="none"/>
        </w:rPr>
      </w:pPr>
      <w:bookmarkStart w:id="478" w:name="_Toc296602463"/>
      <w:bookmarkStart w:id="479" w:name="_Toc246996220"/>
      <w:bookmarkStart w:id="480" w:name="_Toc144974544"/>
      <w:bookmarkStart w:id="481" w:name="_Toc13199"/>
      <w:bookmarkStart w:id="482" w:name="_Toc246996963"/>
      <w:bookmarkStart w:id="483" w:name="_Toc247085734"/>
      <w:bookmarkStart w:id="484" w:name="_Toc152045576"/>
      <w:bookmarkStart w:id="485" w:name="_Toc5679"/>
      <w:bookmarkStart w:id="486" w:name="_Toc179632594"/>
      <w:bookmarkStart w:id="487" w:name="_Toc13432"/>
      <w:bookmarkStart w:id="488" w:name="_Toc152042352"/>
      <w:r>
        <w:rPr>
          <w:rFonts w:hint="eastAsia"/>
          <w:highlight w:val="none"/>
        </w:rPr>
        <w:t>9.2 对供应商的纪律要求</w:t>
      </w:r>
      <w:bookmarkEnd w:id="478"/>
      <w:bookmarkEnd w:id="479"/>
      <w:bookmarkEnd w:id="480"/>
      <w:bookmarkEnd w:id="481"/>
      <w:bookmarkEnd w:id="482"/>
      <w:bookmarkEnd w:id="483"/>
      <w:bookmarkEnd w:id="484"/>
      <w:bookmarkEnd w:id="485"/>
      <w:bookmarkEnd w:id="486"/>
      <w:bookmarkEnd w:id="487"/>
      <w:bookmarkEnd w:id="488"/>
    </w:p>
    <w:p>
      <w:pPr>
        <w:spacing w:line="520" w:lineRule="exact"/>
        <w:ind w:firstLine="480" w:firstLineChars="200"/>
        <w:rPr>
          <w:rFonts w:ascii="宋体" w:hAnsi="宋体"/>
          <w:sz w:val="24"/>
          <w:highlight w:val="none"/>
        </w:rPr>
      </w:pPr>
      <w:r>
        <w:rPr>
          <w:rFonts w:hint="eastAsia" w:ascii="宋体" w:hAnsi="宋体"/>
          <w:sz w:val="24"/>
          <w:highlight w:val="none"/>
        </w:rPr>
        <w:t>不得相互串通投标或者与采购人串通投标，不得向采购人或者磋商小组成员行贿谋取中标，不得以他人名义投标或者以其他方式弄虚作假骗取中标；不得以任何方式干扰、影响评标工作。经行政主管部门查实的，其投标将被拒绝，磋商保证金不予退还。</w:t>
      </w:r>
    </w:p>
    <w:p>
      <w:pPr>
        <w:pStyle w:val="5"/>
        <w:spacing w:line="520" w:lineRule="exact"/>
        <w:rPr>
          <w:highlight w:val="none"/>
        </w:rPr>
      </w:pPr>
      <w:bookmarkStart w:id="489" w:name="_Toc179632595"/>
      <w:bookmarkStart w:id="490" w:name="_Toc14931"/>
      <w:bookmarkStart w:id="491" w:name="_Toc246996221"/>
      <w:bookmarkStart w:id="492" w:name="_Toc247085735"/>
      <w:bookmarkStart w:id="493" w:name="_Toc296602464"/>
      <w:bookmarkStart w:id="494" w:name="_Toc22127"/>
      <w:bookmarkStart w:id="495" w:name="_Toc152042353"/>
      <w:bookmarkStart w:id="496" w:name="_Toc246996964"/>
      <w:bookmarkStart w:id="497" w:name="_Toc144974545"/>
      <w:bookmarkStart w:id="498" w:name="_Toc152045577"/>
      <w:bookmarkStart w:id="499" w:name="_Toc12860"/>
      <w:r>
        <w:rPr>
          <w:rFonts w:hint="eastAsia"/>
          <w:highlight w:val="none"/>
        </w:rPr>
        <w:t>9.3 对磋商小组成员的纪律要求</w:t>
      </w:r>
      <w:bookmarkEnd w:id="489"/>
      <w:bookmarkEnd w:id="490"/>
      <w:bookmarkEnd w:id="491"/>
      <w:bookmarkEnd w:id="492"/>
      <w:bookmarkEnd w:id="493"/>
      <w:bookmarkEnd w:id="494"/>
      <w:bookmarkEnd w:id="495"/>
      <w:bookmarkEnd w:id="496"/>
      <w:bookmarkEnd w:id="497"/>
      <w:bookmarkEnd w:id="498"/>
      <w:bookmarkEnd w:id="499"/>
    </w:p>
    <w:p>
      <w:pPr>
        <w:spacing w:line="520" w:lineRule="exact"/>
        <w:ind w:firstLine="480" w:firstLineChars="200"/>
        <w:rPr>
          <w:rFonts w:ascii="宋体" w:hAnsi="宋体"/>
          <w:sz w:val="24"/>
          <w:highlight w:val="none"/>
        </w:rPr>
      </w:pPr>
      <w:r>
        <w:rPr>
          <w:rFonts w:hint="eastAsia" w:ascii="宋体" w:hAnsi="宋体"/>
          <w:sz w:val="24"/>
          <w:highlight w:val="none"/>
        </w:rPr>
        <w:t>磋商小组成员不得收受他人的财物或者其他好处，不得向他人透漏对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pPr>
        <w:pStyle w:val="5"/>
        <w:spacing w:line="520" w:lineRule="exact"/>
        <w:rPr>
          <w:highlight w:val="none"/>
        </w:rPr>
      </w:pPr>
      <w:bookmarkStart w:id="500" w:name="_Toc246996965"/>
      <w:bookmarkStart w:id="501" w:name="_Toc5796"/>
      <w:bookmarkStart w:id="502" w:name="_Toc23375"/>
      <w:bookmarkStart w:id="503" w:name="_Toc152042354"/>
      <w:bookmarkStart w:id="504" w:name="_Toc179632596"/>
      <w:bookmarkStart w:id="505" w:name="_Toc247085736"/>
      <w:bookmarkStart w:id="506" w:name="_Toc246996222"/>
      <w:bookmarkStart w:id="507" w:name="_Toc152045578"/>
      <w:bookmarkStart w:id="508" w:name="_Toc296602465"/>
      <w:bookmarkStart w:id="509" w:name="_Toc3928"/>
      <w:bookmarkStart w:id="510" w:name="_Toc144974546"/>
      <w:r>
        <w:rPr>
          <w:rFonts w:hint="eastAsia"/>
          <w:highlight w:val="none"/>
        </w:rPr>
        <w:t>9.4 对与评标活动有关的工作人员的纪律要求</w:t>
      </w:r>
      <w:bookmarkEnd w:id="500"/>
      <w:bookmarkEnd w:id="501"/>
      <w:bookmarkEnd w:id="502"/>
      <w:bookmarkEnd w:id="503"/>
      <w:bookmarkEnd w:id="504"/>
      <w:bookmarkEnd w:id="505"/>
      <w:bookmarkEnd w:id="506"/>
      <w:bookmarkEnd w:id="507"/>
      <w:bookmarkEnd w:id="508"/>
      <w:bookmarkEnd w:id="509"/>
    </w:p>
    <w:p>
      <w:pPr>
        <w:spacing w:line="520" w:lineRule="exact"/>
        <w:ind w:firstLine="480" w:firstLineChars="200"/>
        <w:rPr>
          <w:rFonts w:ascii="宋体" w:hAnsi="宋体"/>
          <w:sz w:val="24"/>
          <w:highlight w:val="none"/>
        </w:rPr>
      </w:pPr>
      <w:bookmarkStart w:id="511" w:name="_Toc152042355"/>
      <w:r>
        <w:rPr>
          <w:rFonts w:hint="eastAsia" w:ascii="宋体" w:hAnsi="宋体"/>
          <w:sz w:val="24"/>
          <w:highlight w:val="none"/>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511"/>
    </w:p>
    <w:bookmarkEnd w:id="510"/>
    <w:p>
      <w:pPr>
        <w:pStyle w:val="4"/>
        <w:spacing w:line="520" w:lineRule="exact"/>
        <w:rPr>
          <w:highlight w:val="none"/>
        </w:rPr>
      </w:pPr>
      <w:bookmarkStart w:id="512" w:name="_Toc246996984"/>
      <w:bookmarkStart w:id="513" w:name="_Toc179632616"/>
      <w:bookmarkStart w:id="514" w:name="_Toc247085756"/>
      <w:bookmarkStart w:id="515" w:name="_Toc246996241"/>
      <w:bookmarkStart w:id="516" w:name="_Toc152042375"/>
      <w:bookmarkStart w:id="517" w:name="_Toc144974565"/>
      <w:bookmarkStart w:id="518" w:name="_Toc152045598"/>
      <w:bookmarkStart w:id="519" w:name="_Toc11447"/>
      <w:bookmarkStart w:id="520" w:name="_Toc9687"/>
      <w:bookmarkStart w:id="521" w:name="_Toc13366"/>
      <w:r>
        <w:rPr>
          <w:rFonts w:hint="eastAsia"/>
          <w:highlight w:val="none"/>
        </w:rPr>
        <w:t>10.</w:t>
      </w:r>
      <w:bookmarkEnd w:id="512"/>
      <w:bookmarkEnd w:id="513"/>
      <w:bookmarkEnd w:id="514"/>
      <w:bookmarkEnd w:id="515"/>
      <w:bookmarkEnd w:id="516"/>
      <w:bookmarkEnd w:id="517"/>
      <w:bookmarkEnd w:id="518"/>
      <w:bookmarkStart w:id="522" w:name="_Toc420513849"/>
      <w:r>
        <w:rPr>
          <w:rFonts w:hint="eastAsia"/>
          <w:szCs w:val="21"/>
          <w:highlight w:val="none"/>
        </w:rPr>
        <w:t xml:space="preserve"> </w:t>
      </w:r>
      <w:r>
        <w:rPr>
          <w:rFonts w:hint="eastAsia"/>
          <w:highlight w:val="none"/>
        </w:rPr>
        <w:t xml:space="preserve"> 需要补充的其他内容</w:t>
      </w:r>
      <w:bookmarkEnd w:id="519"/>
      <w:bookmarkEnd w:id="520"/>
      <w:bookmarkEnd w:id="521"/>
      <w:bookmarkEnd w:id="522"/>
    </w:p>
    <w:p>
      <w:pPr>
        <w:spacing w:line="520" w:lineRule="exact"/>
        <w:ind w:firstLine="480" w:firstLineChars="200"/>
        <w:rPr>
          <w:rFonts w:ascii="宋体" w:hAnsi="宋体"/>
          <w:b/>
          <w:bCs/>
          <w:szCs w:val="21"/>
          <w:highlight w:val="none"/>
        </w:rPr>
      </w:pPr>
      <w:r>
        <w:rPr>
          <w:rFonts w:hint="eastAsia" w:ascii="宋体" w:hAnsi="宋体"/>
          <w:sz w:val="24"/>
          <w:highlight w:val="none"/>
        </w:rPr>
        <w:t>详见供应商须知前附表</w:t>
      </w:r>
      <w:r>
        <w:rPr>
          <w:rFonts w:hint="eastAsia" w:ascii="宋体" w:hAnsi="宋体"/>
          <w:b/>
          <w:bCs/>
          <w:szCs w:val="21"/>
          <w:highlight w:val="none"/>
        </w:rPr>
        <w:t>。</w:t>
      </w:r>
    </w:p>
    <w:p>
      <w:pPr>
        <w:spacing w:line="520" w:lineRule="exact"/>
        <w:ind w:firstLine="480" w:firstLineChars="200"/>
        <w:rPr>
          <w:rFonts w:ascii="宋体" w:hAnsi="宋体"/>
          <w:sz w:val="24"/>
          <w:highlight w:val="none"/>
        </w:rPr>
      </w:pPr>
    </w:p>
    <w:p>
      <w:pPr>
        <w:spacing w:line="520" w:lineRule="exact"/>
        <w:ind w:firstLine="480" w:firstLineChars="200"/>
        <w:rPr>
          <w:rFonts w:ascii="宋体" w:hAnsi="宋体"/>
          <w:sz w:val="24"/>
          <w:highlight w:val="none"/>
        </w:rPr>
      </w:pPr>
    </w:p>
    <w:p>
      <w:pPr>
        <w:spacing w:line="520" w:lineRule="exact"/>
        <w:ind w:firstLine="480" w:firstLineChars="200"/>
        <w:rPr>
          <w:rFonts w:ascii="宋体" w:hAnsi="宋体"/>
          <w:sz w:val="24"/>
          <w:highlight w:val="none"/>
        </w:rPr>
      </w:pPr>
    </w:p>
    <w:p>
      <w:pPr>
        <w:spacing w:line="520" w:lineRule="exact"/>
        <w:ind w:firstLine="480" w:firstLineChars="200"/>
        <w:rPr>
          <w:rFonts w:ascii="宋体" w:hAnsi="宋体"/>
          <w:sz w:val="24"/>
          <w:highlight w:val="none"/>
        </w:rPr>
      </w:pPr>
    </w:p>
    <w:p>
      <w:pPr>
        <w:spacing w:line="520" w:lineRule="exact"/>
        <w:ind w:firstLine="480" w:firstLineChars="200"/>
        <w:rPr>
          <w:rFonts w:ascii="宋体" w:hAnsi="宋体"/>
          <w:sz w:val="24"/>
          <w:highlight w:val="none"/>
        </w:rPr>
      </w:pPr>
    </w:p>
    <w:p>
      <w:pPr>
        <w:spacing w:line="520" w:lineRule="exact"/>
        <w:ind w:firstLine="480" w:firstLineChars="200"/>
        <w:rPr>
          <w:rFonts w:ascii="宋体" w:hAnsi="宋体"/>
          <w:sz w:val="24"/>
          <w:highlight w:val="none"/>
        </w:rPr>
      </w:pPr>
    </w:p>
    <w:p>
      <w:pPr>
        <w:spacing w:line="520" w:lineRule="exact"/>
        <w:ind w:firstLine="480" w:firstLineChars="200"/>
        <w:rPr>
          <w:rFonts w:ascii="宋体" w:hAnsi="宋体"/>
          <w:sz w:val="24"/>
          <w:highlight w:val="none"/>
        </w:rPr>
      </w:pPr>
    </w:p>
    <w:p>
      <w:pPr>
        <w:spacing w:line="520" w:lineRule="exact"/>
        <w:ind w:firstLine="480" w:firstLineChars="200"/>
        <w:rPr>
          <w:rFonts w:ascii="宋体" w:hAnsi="宋体"/>
          <w:sz w:val="24"/>
          <w:highlight w:val="none"/>
        </w:rPr>
      </w:pPr>
    </w:p>
    <w:p>
      <w:pPr>
        <w:spacing w:line="520" w:lineRule="exact"/>
        <w:ind w:firstLine="480" w:firstLineChars="200"/>
        <w:rPr>
          <w:rFonts w:ascii="宋体" w:hAnsi="宋体"/>
          <w:sz w:val="24"/>
          <w:highlight w:val="none"/>
        </w:rPr>
      </w:pPr>
    </w:p>
    <w:p>
      <w:pPr>
        <w:spacing w:line="520" w:lineRule="exact"/>
        <w:ind w:firstLine="480" w:firstLineChars="200"/>
        <w:rPr>
          <w:rFonts w:ascii="宋体" w:hAnsi="宋体"/>
          <w:sz w:val="24"/>
          <w:highlight w:val="none"/>
        </w:rPr>
      </w:pPr>
    </w:p>
    <w:p>
      <w:pPr>
        <w:spacing w:line="520" w:lineRule="exact"/>
        <w:ind w:firstLine="480" w:firstLineChars="200"/>
        <w:rPr>
          <w:rFonts w:ascii="宋体" w:hAnsi="宋体"/>
          <w:sz w:val="24"/>
          <w:highlight w:val="none"/>
        </w:rPr>
      </w:pPr>
    </w:p>
    <w:p>
      <w:pPr>
        <w:spacing w:line="520" w:lineRule="exact"/>
        <w:rPr>
          <w:rFonts w:ascii="宋体" w:hAnsi="宋体"/>
          <w:sz w:val="24"/>
          <w:highlight w:val="none"/>
        </w:rPr>
      </w:pPr>
    </w:p>
    <w:p>
      <w:pPr>
        <w:spacing w:line="520" w:lineRule="exact"/>
        <w:rPr>
          <w:rFonts w:ascii="宋体" w:hAnsi="宋体"/>
          <w:sz w:val="24"/>
          <w:highlight w:val="none"/>
        </w:rPr>
      </w:pPr>
    </w:p>
    <w:p>
      <w:pPr>
        <w:pStyle w:val="3"/>
        <w:numPr>
          <w:ilvl w:val="0"/>
          <w:numId w:val="1"/>
        </w:numPr>
        <w:spacing w:after="120" w:line="360" w:lineRule="auto"/>
        <w:jc w:val="center"/>
        <w:rPr>
          <w:highlight w:val="none"/>
        </w:rPr>
      </w:pPr>
      <w:bookmarkStart w:id="523" w:name="_Toc20162"/>
      <w:r>
        <w:rPr>
          <w:rFonts w:hint="eastAsia"/>
          <w:highlight w:val="none"/>
        </w:rPr>
        <w:t>评标办法</w:t>
      </w:r>
      <w:bookmarkEnd w:id="523"/>
    </w:p>
    <w:p>
      <w:pPr>
        <w:pStyle w:val="4"/>
        <w:spacing w:line="520" w:lineRule="exact"/>
        <w:rPr>
          <w:highlight w:val="none"/>
        </w:rPr>
      </w:pPr>
      <w:r>
        <w:rPr>
          <w:rFonts w:hint="eastAsia"/>
          <w:highlight w:val="none"/>
        </w:rPr>
        <w:t>1 评审办法</w:t>
      </w:r>
    </w:p>
    <w:p>
      <w:pPr>
        <w:spacing w:line="520" w:lineRule="exact"/>
        <w:ind w:firstLine="480" w:firstLineChars="200"/>
        <w:rPr>
          <w:rFonts w:ascii="宋体" w:hAnsi="宋体"/>
          <w:sz w:val="24"/>
          <w:highlight w:val="none"/>
        </w:rPr>
      </w:pPr>
      <w:r>
        <w:rPr>
          <w:rFonts w:hint="eastAsia" w:ascii="宋体" w:hAnsi="宋体"/>
          <w:sz w:val="24"/>
          <w:highlight w:val="none"/>
        </w:rPr>
        <w:t>本次评审采用综合评分法。竞争性磋商小组依据竞争性磋商文件对资格资质的要求，首先进行资格资质证书原件审查，对未通过资格资质审查的不进行下一步评审，经磋商确定最终采购需求和提交最后报价后，由磋商小组采用综合评分法对提交最后报价的的响应文件和最后报价进行综合评分，综合评分法，是指响应文件满足磋商文件全部实质性要求且按评审因素的量化指标评审得分最高的供应商为成交候选供应商的评审方法。</w:t>
      </w:r>
    </w:p>
    <w:p>
      <w:pPr>
        <w:spacing w:line="520" w:lineRule="exact"/>
        <w:ind w:firstLine="480" w:firstLineChars="200"/>
        <w:rPr>
          <w:rFonts w:ascii="宋体" w:hAnsi="宋体"/>
          <w:sz w:val="24"/>
          <w:highlight w:val="none"/>
        </w:rPr>
      </w:pPr>
      <w:r>
        <w:rPr>
          <w:rFonts w:hint="eastAsia" w:ascii="宋体" w:hAnsi="宋体"/>
          <w:sz w:val="24"/>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pPr>
        <w:pStyle w:val="4"/>
        <w:spacing w:line="520" w:lineRule="exact"/>
        <w:rPr>
          <w:highlight w:val="none"/>
        </w:rPr>
      </w:pPr>
      <w:r>
        <w:rPr>
          <w:rFonts w:hint="eastAsia"/>
          <w:highlight w:val="none"/>
        </w:rPr>
        <w:t>2 评审标准</w:t>
      </w:r>
    </w:p>
    <w:p>
      <w:pPr>
        <w:spacing w:line="520" w:lineRule="exact"/>
        <w:ind w:firstLine="480" w:firstLineChars="200"/>
        <w:rPr>
          <w:rFonts w:ascii="宋体" w:hAnsi="宋体"/>
          <w:sz w:val="24"/>
          <w:highlight w:val="none"/>
        </w:rPr>
      </w:pPr>
      <w:r>
        <w:rPr>
          <w:rFonts w:hint="eastAsia" w:ascii="宋体" w:hAnsi="宋体"/>
          <w:sz w:val="24"/>
          <w:highlight w:val="none"/>
        </w:rPr>
        <w:t>2.1、组建磋商小组</w:t>
      </w:r>
    </w:p>
    <w:p>
      <w:pPr>
        <w:spacing w:line="520" w:lineRule="exact"/>
        <w:ind w:firstLine="480" w:firstLineChars="200"/>
        <w:rPr>
          <w:rFonts w:ascii="宋体" w:hAnsi="宋体"/>
          <w:sz w:val="24"/>
          <w:highlight w:val="none"/>
        </w:rPr>
      </w:pPr>
      <w:r>
        <w:rPr>
          <w:rFonts w:hint="eastAsia" w:ascii="宋体" w:hAnsi="宋体"/>
          <w:sz w:val="24"/>
          <w:highlight w:val="none"/>
        </w:rPr>
        <w:t>本项目磋商小组由从专家库中随机抽取经济、技术方面的专家组成，负责对报价文件进行审查、澄清、打分、推荐成交候选供应商等。</w:t>
      </w:r>
    </w:p>
    <w:p>
      <w:pPr>
        <w:spacing w:line="520" w:lineRule="exact"/>
        <w:ind w:firstLine="480" w:firstLineChars="200"/>
        <w:rPr>
          <w:rFonts w:ascii="宋体" w:hAnsi="宋体"/>
          <w:sz w:val="24"/>
          <w:highlight w:val="none"/>
        </w:rPr>
      </w:pPr>
      <w:r>
        <w:rPr>
          <w:rFonts w:hint="eastAsia" w:ascii="宋体" w:hAnsi="宋体"/>
          <w:sz w:val="24"/>
          <w:highlight w:val="none"/>
        </w:rPr>
        <w:t>2.2、评审原则</w:t>
      </w:r>
    </w:p>
    <w:p>
      <w:pPr>
        <w:spacing w:line="520" w:lineRule="exact"/>
        <w:ind w:firstLine="480" w:firstLineChars="200"/>
        <w:rPr>
          <w:rFonts w:ascii="宋体" w:hAnsi="宋体"/>
          <w:sz w:val="24"/>
          <w:highlight w:val="none"/>
        </w:rPr>
      </w:pPr>
      <w:r>
        <w:rPr>
          <w:rFonts w:hint="eastAsia" w:ascii="宋体" w:hAnsi="宋体"/>
          <w:sz w:val="24"/>
          <w:highlight w:val="none"/>
        </w:rPr>
        <w:t>2.2.1客观性原则：磋商小组将严格按照谈判通知书的要求，对的报价文件进行认真评审；磋商小组对报价文件的评审仅依靠报价文件本身，而不依靠报价文件以外的任何因素。</w:t>
      </w:r>
    </w:p>
    <w:p>
      <w:pPr>
        <w:spacing w:line="520" w:lineRule="exact"/>
        <w:ind w:firstLine="480" w:firstLineChars="200"/>
        <w:rPr>
          <w:rFonts w:ascii="宋体" w:hAnsi="宋体"/>
          <w:sz w:val="24"/>
          <w:highlight w:val="none"/>
        </w:rPr>
      </w:pPr>
      <w:r>
        <w:rPr>
          <w:rFonts w:hint="eastAsia" w:ascii="宋体" w:hAnsi="宋体"/>
          <w:sz w:val="24"/>
          <w:highlight w:val="none"/>
        </w:rPr>
        <w:t>2.2.2统一性原则：磋商小组将按照统一的评标原则和评标方法，用同一标准进行评标。</w:t>
      </w:r>
    </w:p>
    <w:p>
      <w:pPr>
        <w:spacing w:line="520" w:lineRule="exact"/>
        <w:ind w:firstLine="480" w:firstLineChars="200"/>
        <w:rPr>
          <w:rFonts w:ascii="宋体" w:hAnsi="宋体"/>
          <w:sz w:val="24"/>
          <w:highlight w:val="none"/>
        </w:rPr>
      </w:pPr>
      <w:r>
        <w:rPr>
          <w:rFonts w:hint="eastAsia" w:ascii="宋体" w:hAnsi="宋体"/>
          <w:sz w:val="24"/>
          <w:highlight w:val="none"/>
        </w:rPr>
        <w:t>2.2.3独立性原则：评审工作在磋商小组内部独立进行，不受外界任何因素的干扰和影响。</w:t>
      </w:r>
    </w:p>
    <w:p>
      <w:pPr>
        <w:spacing w:line="520" w:lineRule="exact"/>
        <w:ind w:firstLine="480" w:firstLineChars="200"/>
        <w:rPr>
          <w:rFonts w:ascii="宋体" w:hAnsi="宋体"/>
          <w:sz w:val="24"/>
          <w:highlight w:val="none"/>
        </w:rPr>
      </w:pPr>
      <w:r>
        <w:rPr>
          <w:rFonts w:hint="eastAsia" w:ascii="宋体" w:hAnsi="宋体"/>
          <w:sz w:val="24"/>
          <w:highlight w:val="none"/>
        </w:rPr>
        <w:t>2.2.4保密性原则：磋商小组及熟知情况的有关工作人员将保守的商业秘密。</w:t>
      </w:r>
    </w:p>
    <w:p>
      <w:pPr>
        <w:spacing w:line="520" w:lineRule="exact"/>
        <w:ind w:firstLine="480" w:firstLineChars="200"/>
        <w:rPr>
          <w:rFonts w:ascii="宋体" w:hAnsi="宋体"/>
          <w:sz w:val="24"/>
          <w:highlight w:val="none"/>
        </w:rPr>
      </w:pPr>
      <w:r>
        <w:rPr>
          <w:rFonts w:hint="eastAsia" w:ascii="宋体" w:hAnsi="宋体"/>
          <w:sz w:val="24"/>
          <w:highlight w:val="none"/>
        </w:rPr>
        <w:t>2.2.5综合性原则：磋商小组将综合分析、评审的各项指标，而不以单项指标的优劣评定出成交。</w:t>
      </w:r>
    </w:p>
    <w:p>
      <w:pPr>
        <w:spacing w:line="520" w:lineRule="exact"/>
        <w:ind w:firstLine="480" w:firstLineChars="200"/>
        <w:rPr>
          <w:rFonts w:ascii="宋体" w:hAnsi="宋体"/>
          <w:sz w:val="24"/>
          <w:highlight w:val="none"/>
        </w:rPr>
      </w:pPr>
      <w:r>
        <w:rPr>
          <w:rFonts w:hint="eastAsia" w:ascii="宋体" w:hAnsi="宋体"/>
          <w:sz w:val="24"/>
          <w:highlight w:val="none"/>
        </w:rPr>
        <w:t>2.3评审方法：经磋商确定最终采购需求和提交最后报价后，由磋商小组采用综合评分法对提交最后报价的响应文件和最后报价进行综合评分。磋商小组应当根据综合评分情况，按照评审得分由高到低顺序推荐3名成交候选供应商。</w:t>
      </w:r>
    </w:p>
    <w:p>
      <w:pPr>
        <w:spacing w:line="520" w:lineRule="exact"/>
        <w:ind w:firstLine="480" w:firstLineChars="200"/>
        <w:rPr>
          <w:rFonts w:ascii="宋体" w:hAnsi="宋体"/>
          <w:sz w:val="24"/>
          <w:highlight w:val="none"/>
        </w:rPr>
      </w:pPr>
      <w:r>
        <w:rPr>
          <w:rFonts w:hint="eastAsia" w:ascii="宋体" w:hAnsi="宋体"/>
          <w:sz w:val="24"/>
          <w:highlight w:val="none"/>
        </w:rPr>
        <w:t>2.4报价文件初审，报价文件的初审分为资格性审查和符合性审查。</w:t>
      </w:r>
    </w:p>
    <w:p>
      <w:pPr>
        <w:spacing w:line="520" w:lineRule="exact"/>
        <w:ind w:firstLine="480" w:firstLineChars="200"/>
        <w:rPr>
          <w:rFonts w:ascii="宋体" w:hAnsi="宋体"/>
          <w:sz w:val="24"/>
          <w:highlight w:val="none"/>
        </w:rPr>
      </w:pPr>
      <w:r>
        <w:rPr>
          <w:rFonts w:hint="eastAsia" w:ascii="宋体" w:hAnsi="宋体"/>
          <w:sz w:val="24"/>
          <w:highlight w:val="none"/>
        </w:rPr>
        <w:t>2.4.1资格性审查：磋商小组依据竞争性磋商文件中关于资格的要求，对报价文件的资格证明文件原件等进行审查，以确定是否具备报价资格。如有达不到其中之一项要求的，磋商小组有权否决其报价，不予进行下一步评审。</w:t>
      </w:r>
    </w:p>
    <w:p>
      <w:pPr>
        <w:spacing w:line="520" w:lineRule="exact"/>
        <w:ind w:firstLine="480" w:firstLineChars="200"/>
        <w:rPr>
          <w:rFonts w:ascii="宋体" w:hAnsi="宋体"/>
          <w:sz w:val="24"/>
          <w:highlight w:val="none"/>
        </w:rPr>
      </w:pPr>
      <w:r>
        <w:rPr>
          <w:rFonts w:hint="eastAsia" w:ascii="宋体" w:hAnsi="宋体"/>
          <w:sz w:val="24"/>
          <w:highlight w:val="none"/>
        </w:rPr>
        <w:t>2.4.2符合性审查：报价后，磋商小组将组织审查报价文件是否对磋商文件的要求做出了实质性响应。实质性响应的报价是指符合磋商文件的所有条款、条件和规定且没有重大偏离或保留，不能通过修正或撤消报价文件中的不符之处而使其报价成为实质性响应的报价；磋商小组判断报价文件的响应性仅基于报价文件本身而不靠外部证据。</w:t>
      </w:r>
    </w:p>
    <w:p>
      <w:pPr>
        <w:spacing w:line="520" w:lineRule="exact"/>
        <w:ind w:firstLine="480" w:firstLineChars="200"/>
        <w:rPr>
          <w:rFonts w:ascii="宋体" w:hAnsi="宋体"/>
          <w:sz w:val="24"/>
          <w:highlight w:val="none"/>
        </w:rPr>
      </w:pPr>
      <w:r>
        <w:rPr>
          <w:rFonts w:hint="eastAsia" w:ascii="宋体" w:hAnsi="宋体"/>
          <w:sz w:val="24"/>
          <w:highlight w:val="none"/>
        </w:rPr>
        <w:t>如有达不到其中之一项要求的，磋商小组有权否决其报价，不予进行下一步评审。符合性审查的内容如下：</w:t>
      </w:r>
    </w:p>
    <w:p>
      <w:pPr>
        <w:spacing w:line="520" w:lineRule="exact"/>
        <w:ind w:firstLine="480" w:firstLineChars="200"/>
        <w:rPr>
          <w:rFonts w:ascii="宋体" w:hAnsi="宋体"/>
          <w:sz w:val="24"/>
          <w:highlight w:val="none"/>
        </w:rPr>
      </w:pPr>
      <w:r>
        <w:rPr>
          <w:rFonts w:hint="eastAsia" w:ascii="宋体" w:hAnsi="宋体"/>
          <w:sz w:val="24"/>
          <w:highlight w:val="none"/>
        </w:rPr>
        <w:t>1）资格、条件不符合国家有关规定和竞争性磋商文件要求的；</w:t>
      </w:r>
    </w:p>
    <w:p>
      <w:pPr>
        <w:spacing w:line="520" w:lineRule="exact"/>
        <w:ind w:firstLine="480" w:firstLineChars="200"/>
        <w:rPr>
          <w:rFonts w:ascii="宋体" w:hAnsi="宋体"/>
          <w:sz w:val="24"/>
          <w:highlight w:val="none"/>
        </w:rPr>
      </w:pPr>
      <w:r>
        <w:rPr>
          <w:rFonts w:hint="eastAsia" w:ascii="宋体" w:hAnsi="宋体"/>
          <w:sz w:val="24"/>
          <w:highlight w:val="none"/>
        </w:rPr>
        <w:t>2）报价文件中没有按有关规定制作、签字、盖章；</w:t>
      </w:r>
    </w:p>
    <w:p>
      <w:pPr>
        <w:spacing w:line="520" w:lineRule="exact"/>
        <w:ind w:firstLine="480" w:firstLineChars="200"/>
        <w:rPr>
          <w:rFonts w:ascii="宋体" w:hAnsi="宋体"/>
          <w:sz w:val="24"/>
          <w:highlight w:val="none"/>
        </w:rPr>
      </w:pPr>
      <w:r>
        <w:rPr>
          <w:rFonts w:hint="eastAsia" w:ascii="宋体" w:hAnsi="宋体"/>
          <w:sz w:val="24"/>
          <w:highlight w:val="none"/>
        </w:rPr>
        <w:t>3）报价文件的主要内容不全或者关键字迹模糊、无法辨认的；</w:t>
      </w:r>
    </w:p>
    <w:p>
      <w:pPr>
        <w:spacing w:line="520" w:lineRule="exact"/>
        <w:ind w:firstLine="480" w:firstLineChars="200"/>
        <w:rPr>
          <w:rFonts w:ascii="宋体" w:hAnsi="宋体"/>
          <w:sz w:val="24"/>
          <w:highlight w:val="none"/>
        </w:rPr>
      </w:pPr>
      <w:r>
        <w:rPr>
          <w:rFonts w:hint="eastAsia" w:ascii="宋体" w:hAnsi="宋体"/>
          <w:sz w:val="24"/>
          <w:highlight w:val="none"/>
        </w:rPr>
        <w:t>4）报价有效期不能满足竞争性磋商文件规定的；</w:t>
      </w:r>
    </w:p>
    <w:p>
      <w:pPr>
        <w:spacing w:line="520" w:lineRule="exact"/>
        <w:ind w:firstLine="480" w:firstLineChars="200"/>
        <w:rPr>
          <w:rFonts w:ascii="宋体" w:hAnsi="宋体"/>
          <w:sz w:val="24"/>
          <w:highlight w:val="none"/>
        </w:rPr>
      </w:pPr>
      <w:r>
        <w:rPr>
          <w:rFonts w:hint="eastAsia" w:ascii="宋体" w:hAnsi="宋体"/>
          <w:sz w:val="24"/>
          <w:highlight w:val="none"/>
        </w:rPr>
        <w:t>5）提交两份以上内容不同的报价文件且未声明哪一份有效的；</w:t>
      </w:r>
    </w:p>
    <w:p>
      <w:pPr>
        <w:spacing w:line="520" w:lineRule="exact"/>
        <w:ind w:firstLine="480" w:firstLineChars="200"/>
        <w:rPr>
          <w:rFonts w:ascii="宋体" w:hAnsi="宋体"/>
          <w:sz w:val="24"/>
          <w:highlight w:val="none"/>
        </w:rPr>
      </w:pPr>
      <w:r>
        <w:rPr>
          <w:rFonts w:hint="eastAsia" w:ascii="宋体" w:hAnsi="宋体"/>
          <w:sz w:val="24"/>
          <w:highlight w:val="none"/>
        </w:rPr>
        <w:t>6）未按竞争性磋商文件要求提交磋商保证金的；</w:t>
      </w:r>
    </w:p>
    <w:p>
      <w:pPr>
        <w:spacing w:line="520" w:lineRule="exact"/>
        <w:ind w:firstLine="480" w:firstLineChars="200"/>
        <w:rPr>
          <w:rFonts w:ascii="宋体" w:hAnsi="宋体"/>
          <w:sz w:val="24"/>
          <w:highlight w:val="none"/>
        </w:rPr>
      </w:pPr>
      <w:r>
        <w:rPr>
          <w:rFonts w:hint="eastAsia" w:ascii="宋体" w:hAnsi="宋体"/>
          <w:sz w:val="24"/>
          <w:highlight w:val="none"/>
        </w:rPr>
        <w:t>7）串通报价、弄虚作假或者以行贿、欺骗等不正当手段谋取中标的；</w:t>
      </w:r>
    </w:p>
    <w:p>
      <w:pPr>
        <w:spacing w:line="520" w:lineRule="exact"/>
        <w:ind w:firstLine="480" w:firstLineChars="200"/>
        <w:rPr>
          <w:rFonts w:ascii="宋体" w:hAnsi="宋体"/>
          <w:sz w:val="24"/>
          <w:highlight w:val="none"/>
        </w:rPr>
      </w:pPr>
      <w:r>
        <w:rPr>
          <w:rFonts w:hint="eastAsia" w:ascii="宋体" w:hAnsi="宋体"/>
          <w:sz w:val="24"/>
          <w:highlight w:val="none"/>
        </w:rPr>
        <w:t>8）单位负责人为同一人或者存在控股、管理关系的不同单位，同时对该项目报价的；</w:t>
      </w:r>
    </w:p>
    <w:p>
      <w:pPr>
        <w:spacing w:line="520" w:lineRule="exact"/>
        <w:ind w:firstLine="480" w:firstLineChars="200"/>
        <w:rPr>
          <w:rFonts w:ascii="宋体" w:hAnsi="宋体"/>
          <w:sz w:val="24"/>
          <w:highlight w:val="none"/>
        </w:rPr>
      </w:pPr>
      <w:r>
        <w:rPr>
          <w:rFonts w:hint="eastAsia" w:ascii="宋体" w:hAnsi="宋体"/>
          <w:sz w:val="24"/>
          <w:highlight w:val="none"/>
        </w:rPr>
        <w:t>9）有实质性内容未按竞争性磋商文件要求编制、提交或未响应竞争性磋商文件要求的；</w:t>
      </w:r>
    </w:p>
    <w:p>
      <w:pPr>
        <w:spacing w:line="520" w:lineRule="exact"/>
        <w:ind w:firstLine="480" w:firstLineChars="200"/>
        <w:rPr>
          <w:rFonts w:ascii="宋体" w:hAnsi="宋体"/>
          <w:sz w:val="24"/>
          <w:highlight w:val="none"/>
        </w:rPr>
      </w:pPr>
      <w:r>
        <w:rPr>
          <w:rFonts w:hint="eastAsia" w:ascii="宋体" w:hAnsi="宋体"/>
          <w:sz w:val="24"/>
          <w:highlight w:val="none"/>
        </w:rPr>
        <w:t>10）竞争性磋商小组一致认定报价低于成本价格，不能满足磋商文件要求的；</w:t>
      </w:r>
    </w:p>
    <w:p>
      <w:pPr>
        <w:spacing w:line="520" w:lineRule="exact"/>
        <w:ind w:firstLine="480" w:firstLineChars="200"/>
        <w:rPr>
          <w:rFonts w:ascii="宋体" w:hAnsi="宋体"/>
          <w:sz w:val="24"/>
          <w:highlight w:val="none"/>
        </w:rPr>
      </w:pPr>
      <w:r>
        <w:rPr>
          <w:rFonts w:hint="eastAsia" w:ascii="宋体" w:hAnsi="宋体"/>
          <w:sz w:val="24"/>
          <w:highlight w:val="none"/>
        </w:rPr>
        <w:t>11）其它磋商小组认定的违反竞争性磋商文件其他相关规定的。</w:t>
      </w:r>
    </w:p>
    <w:p>
      <w:pPr>
        <w:spacing w:line="520" w:lineRule="exact"/>
        <w:ind w:firstLine="480" w:firstLineChars="200"/>
        <w:rPr>
          <w:rFonts w:ascii="宋体" w:hAnsi="宋体"/>
          <w:sz w:val="24"/>
          <w:highlight w:val="none"/>
        </w:rPr>
      </w:pPr>
      <w:r>
        <w:rPr>
          <w:rFonts w:hint="eastAsia" w:ascii="宋体" w:hAnsi="宋体"/>
          <w:sz w:val="24"/>
          <w:highlight w:val="none"/>
        </w:rPr>
        <w:t>2.4.3细微偏差是报价文件在实质上响应谈判通知书要求，但在个别地方存在漏项或者提供了不完整的技术信息和数据等情况，并且补正这些遗漏或者不完整，不会对其他造成不公平的结果。细微偏差不影响报价文件的有效性。</w:t>
      </w:r>
    </w:p>
    <w:p>
      <w:pPr>
        <w:spacing w:line="520" w:lineRule="exact"/>
        <w:ind w:firstLine="480" w:firstLineChars="200"/>
        <w:rPr>
          <w:rFonts w:ascii="宋体" w:hAnsi="宋体"/>
          <w:sz w:val="24"/>
          <w:highlight w:val="none"/>
        </w:rPr>
      </w:pPr>
      <w:r>
        <w:rPr>
          <w:rFonts w:hint="eastAsia" w:ascii="宋体" w:hAnsi="宋体"/>
          <w:sz w:val="24"/>
          <w:highlight w:val="none"/>
        </w:rPr>
        <w:t>2.4.4初审中，对明显的文字和计算错误按本磋商文件要求处理。</w:t>
      </w:r>
    </w:p>
    <w:p>
      <w:pPr>
        <w:spacing w:line="520" w:lineRule="exact"/>
        <w:ind w:firstLine="480" w:firstLineChars="200"/>
        <w:rPr>
          <w:rFonts w:ascii="宋体" w:hAnsi="宋体"/>
          <w:sz w:val="24"/>
          <w:highlight w:val="none"/>
        </w:rPr>
      </w:pPr>
      <w:r>
        <w:rPr>
          <w:rFonts w:hint="eastAsia" w:ascii="宋体" w:hAnsi="宋体"/>
          <w:sz w:val="24"/>
          <w:highlight w:val="none"/>
        </w:rPr>
        <w:t>2.4.5调整后的数据对具有约束力，不同意以上修正，其报价将被拒绝。</w:t>
      </w:r>
    </w:p>
    <w:p>
      <w:pPr>
        <w:spacing w:line="520" w:lineRule="exact"/>
        <w:ind w:firstLine="480" w:firstLineChars="200"/>
        <w:rPr>
          <w:rFonts w:ascii="宋体" w:hAnsi="宋体"/>
          <w:sz w:val="24"/>
          <w:highlight w:val="none"/>
        </w:rPr>
      </w:pPr>
      <w:r>
        <w:rPr>
          <w:rFonts w:hint="eastAsia" w:ascii="宋体" w:hAnsi="宋体"/>
          <w:sz w:val="24"/>
          <w:highlight w:val="none"/>
        </w:rPr>
        <w:t>2.5技术评审：磋商小组将按照谈判通知书中技术规格书的要求对报价文件进行技术评审。</w:t>
      </w:r>
    </w:p>
    <w:p>
      <w:pPr>
        <w:spacing w:line="520" w:lineRule="exact"/>
        <w:ind w:firstLine="480" w:firstLineChars="200"/>
        <w:rPr>
          <w:rFonts w:ascii="宋体" w:hAnsi="宋体"/>
          <w:sz w:val="24"/>
          <w:highlight w:val="none"/>
        </w:rPr>
      </w:pPr>
      <w:r>
        <w:rPr>
          <w:rFonts w:hint="eastAsia" w:ascii="宋体" w:hAnsi="宋体"/>
          <w:sz w:val="24"/>
          <w:highlight w:val="none"/>
        </w:rPr>
        <w:t>磋商小组将按照磋商文件技术规格书的要求对报价文件进行技术评审，并可能根据与供应商谈判情况实质性变动采购需求中的技术、服务要求（如工程量和工程内容），并与供应商进行进一步谈判。</w:t>
      </w:r>
    </w:p>
    <w:p>
      <w:pPr>
        <w:spacing w:line="520" w:lineRule="exact"/>
        <w:ind w:firstLine="480" w:firstLineChars="200"/>
        <w:rPr>
          <w:rFonts w:ascii="宋体" w:hAnsi="宋体"/>
          <w:sz w:val="24"/>
          <w:highlight w:val="none"/>
        </w:rPr>
      </w:pPr>
      <w:r>
        <w:rPr>
          <w:rFonts w:hint="eastAsia" w:ascii="宋体" w:hAnsi="宋体"/>
          <w:sz w:val="24"/>
          <w:highlight w:val="none"/>
        </w:rPr>
        <w:t>2.6、报价文件的澄清</w:t>
      </w:r>
    </w:p>
    <w:p>
      <w:pPr>
        <w:spacing w:line="520" w:lineRule="exact"/>
        <w:ind w:firstLine="480" w:firstLineChars="200"/>
        <w:rPr>
          <w:rFonts w:ascii="宋体" w:hAnsi="宋体"/>
          <w:sz w:val="24"/>
          <w:highlight w:val="none"/>
        </w:rPr>
      </w:pPr>
      <w:r>
        <w:rPr>
          <w:rFonts w:hint="eastAsia" w:ascii="宋体" w:hAnsi="宋体"/>
          <w:sz w:val="24"/>
          <w:highlight w:val="none"/>
        </w:rPr>
        <w:t>2.6.1为有助于对报价文件进行审查，磋商小组有权向询问。磋商小组在对响应文件的有效性、完整性和响应程度进行审查时，可以要求对响应文件中含义不明确、同类问题表述不一致或者有明显文字和计算错误的内容等作出必要的澄清、说明或者更正。供应商的澄清、说明或者更正不得超出响应文件的范围或者改变响应文件的实质性内容。磋商小组要求澄清、说明或者更正响应文件应当以书面形式作出。供应商的澄清、说明或者更正应当由法定代表人或其授权代表签字或者加盖公章。由授权代表签字的，应当附法定代表人授权书。为自然人的，应当由本人签字并附身份证明。澄清、说明或者补正的内容构成报价文件的组成部分。拒不按照要求对报价文件进行澄清、说明或者补正的，磋商小组可拒绝该报价。</w:t>
      </w:r>
    </w:p>
    <w:p>
      <w:pPr>
        <w:spacing w:line="520" w:lineRule="exact"/>
        <w:ind w:firstLine="480" w:firstLineChars="200"/>
        <w:rPr>
          <w:rFonts w:ascii="宋体" w:hAnsi="宋体"/>
          <w:sz w:val="24"/>
          <w:highlight w:val="none"/>
        </w:rPr>
      </w:pPr>
      <w:r>
        <w:rPr>
          <w:rFonts w:hint="eastAsia" w:ascii="宋体" w:hAnsi="宋体"/>
          <w:sz w:val="24"/>
          <w:highlight w:val="none"/>
        </w:rPr>
        <w:t>2.6.2在评审过程中，磋商小组发现报价明显低于其他投标报价或者在设有标底时明显低于标底，使得其投标报价可能低于个别成本的，应当要求该供应商作出书面说明并提供相关证明材料。供应商不能合理说明或者不能提供相关证明材料的，由磋商小组认定该供应商以低于成本报价竞标其投标做废标处理。</w:t>
      </w:r>
    </w:p>
    <w:p>
      <w:pPr>
        <w:spacing w:line="520" w:lineRule="exact"/>
        <w:ind w:firstLine="480" w:firstLineChars="200"/>
        <w:rPr>
          <w:rFonts w:ascii="宋体" w:hAnsi="宋体"/>
          <w:sz w:val="24"/>
          <w:highlight w:val="none"/>
        </w:rPr>
      </w:pPr>
      <w:r>
        <w:rPr>
          <w:rFonts w:hint="eastAsia" w:ascii="宋体" w:hAnsi="宋体"/>
          <w:sz w:val="24"/>
          <w:highlight w:val="none"/>
        </w:rPr>
        <w:t>2.7、综合评审</w:t>
      </w:r>
    </w:p>
    <w:p>
      <w:pPr>
        <w:spacing w:line="520" w:lineRule="exact"/>
        <w:ind w:firstLine="480" w:firstLineChars="200"/>
        <w:rPr>
          <w:rFonts w:ascii="宋体" w:hAnsi="宋体"/>
          <w:sz w:val="24"/>
          <w:highlight w:val="none"/>
        </w:rPr>
      </w:pPr>
      <w:r>
        <w:rPr>
          <w:rFonts w:hint="eastAsia" w:ascii="宋体" w:hAnsi="宋体"/>
          <w:sz w:val="24"/>
          <w:highlight w:val="none"/>
        </w:rPr>
        <w:t>比较与评价：磋商小组将与通过资格性审查及符合性审查的进行谈判。在谈判中，谈判的任何一方不得透露与谈判有关的其他的技术资料、价格和其他信息。竞争性磋商文件有实质性变动的，磋商小组将以书面形式通知所有参加谈判的。</w:t>
      </w:r>
    </w:p>
    <w:p>
      <w:pPr>
        <w:spacing w:line="520" w:lineRule="exact"/>
        <w:ind w:firstLine="480" w:firstLineChars="200"/>
        <w:rPr>
          <w:rFonts w:ascii="宋体" w:hAnsi="宋体"/>
          <w:sz w:val="24"/>
          <w:highlight w:val="none"/>
        </w:rPr>
      </w:pPr>
      <w:r>
        <w:rPr>
          <w:rFonts w:hint="eastAsia" w:ascii="宋体" w:hAnsi="宋体"/>
          <w:sz w:val="24"/>
          <w:highlight w:val="none"/>
        </w:rPr>
        <w:t>（1）在磋商小组规定的时间内按要求再次以书面形式报价（不超过两次），并由法定代表人或授权代理人签字确认。</w:t>
      </w:r>
    </w:p>
    <w:p>
      <w:pPr>
        <w:spacing w:line="520" w:lineRule="exact"/>
        <w:ind w:firstLine="480" w:firstLineChars="200"/>
        <w:rPr>
          <w:rFonts w:ascii="宋体" w:hAnsi="宋体"/>
          <w:sz w:val="24"/>
          <w:highlight w:val="none"/>
        </w:rPr>
      </w:pPr>
      <w:r>
        <w:rPr>
          <w:rFonts w:hint="eastAsia" w:ascii="宋体" w:hAnsi="宋体"/>
          <w:sz w:val="24"/>
          <w:highlight w:val="none"/>
        </w:rPr>
        <w:t>（2）最终报价后，重大偏离不允许被修正，但磋商小组将允许修正报价中不构成重大偏离的地方，这些修正不会对其他实质上响应竞争性磋商文件要求的的竞争地位产生不公正的影响。</w:t>
      </w:r>
    </w:p>
    <w:p>
      <w:pPr>
        <w:spacing w:line="520" w:lineRule="exact"/>
        <w:ind w:firstLine="480" w:firstLineChars="200"/>
        <w:rPr>
          <w:rFonts w:ascii="宋体" w:hAnsi="宋体"/>
          <w:sz w:val="24"/>
          <w:highlight w:val="none"/>
        </w:rPr>
      </w:pPr>
      <w:r>
        <w:rPr>
          <w:rFonts w:hint="eastAsia" w:ascii="宋体" w:hAnsi="宋体"/>
          <w:sz w:val="24"/>
          <w:highlight w:val="none"/>
        </w:rPr>
        <w:t>（3）如出现达不到法定数量，最终报价均超出采购预算，磋商小组有权否决所有报价，采购人报请监督管理机构批准后另行采购。</w:t>
      </w:r>
    </w:p>
    <w:p>
      <w:pPr>
        <w:spacing w:line="520" w:lineRule="exact"/>
        <w:ind w:firstLine="480" w:firstLineChars="200"/>
        <w:rPr>
          <w:rFonts w:ascii="宋体" w:hAnsi="宋体"/>
          <w:sz w:val="24"/>
          <w:highlight w:val="none"/>
        </w:rPr>
      </w:pPr>
      <w:r>
        <w:rPr>
          <w:rFonts w:hint="eastAsia" w:ascii="宋体" w:hAnsi="宋体"/>
          <w:sz w:val="24"/>
          <w:highlight w:val="none"/>
        </w:rPr>
        <w:t>经磋商确定最终采购需求和提交最后报价的后，由磋商小组采用综合评分法对提交最后报价的的响应文件和最后报价进行综合评分。磋商小组应当根据综合评分情况，按照评审得分由高到低顺序推荐3名成交候选供应商。</w:t>
      </w:r>
    </w:p>
    <w:p>
      <w:pPr>
        <w:spacing w:line="520" w:lineRule="exact"/>
        <w:ind w:firstLine="480" w:firstLineChars="200"/>
        <w:rPr>
          <w:rFonts w:ascii="宋体" w:hAnsi="宋体"/>
          <w:sz w:val="24"/>
          <w:highlight w:val="none"/>
        </w:rPr>
      </w:pPr>
      <w:r>
        <w:rPr>
          <w:rFonts w:hint="eastAsia" w:ascii="宋体" w:hAnsi="宋体"/>
          <w:sz w:val="24"/>
          <w:highlight w:val="none"/>
        </w:rPr>
        <w:t>2.8、特殊情况下的评标方法</w:t>
      </w:r>
    </w:p>
    <w:p>
      <w:pPr>
        <w:spacing w:line="520" w:lineRule="exact"/>
        <w:ind w:firstLine="480" w:firstLineChars="200"/>
        <w:rPr>
          <w:rFonts w:ascii="宋体" w:hAnsi="宋体"/>
          <w:sz w:val="24"/>
          <w:highlight w:val="none"/>
        </w:rPr>
      </w:pPr>
      <w:r>
        <w:rPr>
          <w:rFonts w:hint="eastAsia" w:ascii="宋体" w:hAnsi="宋体"/>
          <w:sz w:val="24"/>
          <w:highlight w:val="none"/>
        </w:rPr>
        <w:t>如出现达不到法定要求数量/均未对谈判通知书做出实质性响应/全部落标/串通投标以及互相诋毁等，导致磋商小组无法评标或报价均超出项目预算时，磋商小组有权停止招标或否决所有投标，采购人有权改用其它采购方式进行采购，与本项目投标所产生的有关费用和损失均自行承担。</w:t>
      </w:r>
    </w:p>
    <w:p>
      <w:pPr>
        <w:spacing w:line="520" w:lineRule="exact"/>
        <w:ind w:firstLine="480" w:firstLineChars="200"/>
        <w:rPr>
          <w:rFonts w:ascii="宋体" w:hAnsi="宋体"/>
          <w:sz w:val="24"/>
          <w:highlight w:val="none"/>
        </w:rPr>
      </w:pPr>
      <w:r>
        <w:rPr>
          <w:rFonts w:hint="eastAsia" w:ascii="宋体" w:hAnsi="宋体"/>
          <w:sz w:val="24"/>
          <w:highlight w:val="none"/>
        </w:rPr>
        <w:t>2.9、无论在评标过程中或其他任何时侯发现下列情形之一的，报价将被拒绝，若成交，则无效。采购代理机构有权依法追究的法律责任。</w:t>
      </w:r>
    </w:p>
    <w:p>
      <w:pPr>
        <w:spacing w:line="520" w:lineRule="exact"/>
        <w:ind w:firstLine="480" w:firstLineChars="200"/>
        <w:rPr>
          <w:rFonts w:ascii="宋体" w:hAnsi="宋体"/>
          <w:sz w:val="24"/>
          <w:highlight w:val="none"/>
        </w:rPr>
      </w:pPr>
      <w:r>
        <w:rPr>
          <w:rFonts w:hint="eastAsia" w:ascii="宋体" w:hAnsi="宋体"/>
          <w:sz w:val="24"/>
          <w:highlight w:val="none"/>
        </w:rPr>
        <w:t>1) 提供虚假材料谋取成交的。</w:t>
      </w:r>
    </w:p>
    <w:p>
      <w:pPr>
        <w:spacing w:line="520" w:lineRule="exact"/>
        <w:ind w:firstLine="480" w:firstLineChars="200"/>
        <w:rPr>
          <w:rFonts w:ascii="宋体" w:hAnsi="宋体"/>
          <w:sz w:val="24"/>
          <w:highlight w:val="none"/>
        </w:rPr>
      </w:pPr>
      <w:r>
        <w:rPr>
          <w:rFonts w:hint="eastAsia" w:ascii="宋体" w:hAnsi="宋体"/>
          <w:sz w:val="24"/>
          <w:highlight w:val="none"/>
        </w:rPr>
        <w:t>2) 采取不正当手段诋毁、排挤其他的。</w:t>
      </w:r>
    </w:p>
    <w:p>
      <w:pPr>
        <w:spacing w:line="520" w:lineRule="exact"/>
        <w:ind w:firstLine="480" w:firstLineChars="200"/>
        <w:rPr>
          <w:rFonts w:ascii="宋体" w:hAnsi="宋体"/>
          <w:sz w:val="24"/>
          <w:highlight w:val="none"/>
        </w:rPr>
      </w:pPr>
      <w:r>
        <w:rPr>
          <w:rFonts w:hint="eastAsia" w:ascii="宋体" w:hAnsi="宋体"/>
          <w:sz w:val="24"/>
          <w:highlight w:val="none"/>
        </w:rPr>
        <w:t>3) 恶意串通报价的。</w:t>
      </w:r>
    </w:p>
    <w:p>
      <w:pPr>
        <w:spacing w:line="520" w:lineRule="exact"/>
        <w:ind w:firstLine="480" w:firstLineChars="200"/>
        <w:rPr>
          <w:rFonts w:ascii="宋体" w:hAnsi="宋体"/>
          <w:sz w:val="24"/>
          <w:highlight w:val="none"/>
        </w:rPr>
      </w:pPr>
      <w:r>
        <w:rPr>
          <w:rFonts w:hint="eastAsia" w:ascii="宋体" w:hAnsi="宋体"/>
          <w:sz w:val="24"/>
          <w:highlight w:val="none"/>
        </w:rPr>
        <w:t>4) 其他任何有企图影响采购结果公正性的活动。</w:t>
      </w:r>
    </w:p>
    <w:p>
      <w:pPr>
        <w:spacing w:line="520" w:lineRule="exact"/>
        <w:ind w:firstLine="480" w:firstLineChars="200"/>
        <w:rPr>
          <w:rFonts w:ascii="宋体" w:hAnsi="宋体"/>
          <w:sz w:val="24"/>
          <w:highlight w:val="none"/>
        </w:rPr>
      </w:pPr>
      <w:r>
        <w:rPr>
          <w:rFonts w:hint="eastAsia" w:ascii="宋体" w:hAnsi="宋体"/>
          <w:sz w:val="24"/>
          <w:highlight w:val="none"/>
        </w:rPr>
        <w:t>5）在报价有效期内撤回报价的。</w:t>
      </w:r>
    </w:p>
    <w:p>
      <w:pPr>
        <w:spacing w:line="520" w:lineRule="exact"/>
        <w:ind w:firstLine="480" w:firstLineChars="200"/>
        <w:rPr>
          <w:rFonts w:ascii="宋体" w:hAnsi="宋体"/>
          <w:sz w:val="24"/>
          <w:highlight w:val="none"/>
        </w:rPr>
      </w:pPr>
      <w:r>
        <w:rPr>
          <w:rFonts w:hint="eastAsia" w:ascii="宋体" w:hAnsi="宋体"/>
          <w:sz w:val="24"/>
          <w:highlight w:val="none"/>
        </w:rPr>
        <w:t>6）成交不按要求缴纳中标服务费；</w:t>
      </w:r>
    </w:p>
    <w:p>
      <w:pPr>
        <w:spacing w:line="520" w:lineRule="exact"/>
        <w:ind w:firstLine="480" w:firstLineChars="200"/>
        <w:rPr>
          <w:rFonts w:ascii="宋体" w:hAnsi="宋体"/>
          <w:sz w:val="24"/>
          <w:highlight w:val="none"/>
        </w:rPr>
      </w:pPr>
      <w:r>
        <w:rPr>
          <w:rFonts w:hint="eastAsia" w:ascii="宋体" w:hAnsi="宋体"/>
          <w:sz w:val="24"/>
          <w:highlight w:val="none"/>
        </w:rPr>
        <w:t>7）成交不按规定的要求签订合同。</w:t>
      </w:r>
    </w:p>
    <w:p>
      <w:pPr>
        <w:spacing w:line="520" w:lineRule="exact"/>
        <w:ind w:firstLine="480" w:firstLineChars="200"/>
        <w:rPr>
          <w:rFonts w:ascii="宋体" w:hAnsi="宋体"/>
          <w:sz w:val="24"/>
          <w:highlight w:val="none"/>
        </w:rPr>
      </w:pPr>
      <w:r>
        <w:rPr>
          <w:rFonts w:hint="eastAsia" w:ascii="宋体" w:hAnsi="宋体"/>
          <w:sz w:val="24"/>
          <w:highlight w:val="none"/>
        </w:rPr>
        <w:t>8）法律、法规规定的其他情况。</w:t>
      </w:r>
    </w:p>
    <w:p>
      <w:pPr>
        <w:spacing w:line="520" w:lineRule="exact"/>
        <w:ind w:firstLine="480" w:firstLineChars="200"/>
        <w:rPr>
          <w:rFonts w:ascii="宋体" w:hAnsi="宋体"/>
          <w:sz w:val="24"/>
          <w:highlight w:val="none"/>
        </w:rPr>
      </w:pPr>
      <w:r>
        <w:rPr>
          <w:rFonts w:hint="eastAsia" w:ascii="宋体" w:hAnsi="宋体"/>
          <w:sz w:val="24"/>
          <w:highlight w:val="none"/>
        </w:rPr>
        <w:t>（2）评审标准仅针对投标人；</w:t>
      </w:r>
    </w:p>
    <w:p>
      <w:pPr>
        <w:spacing w:line="520" w:lineRule="exact"/>
        <w:ind w:firstLine="480" w:firstLineChars="200"/>
        <w:rPr>
          <w:rFonts w:ascii="宋体" w:hAnsi="宋体"/>
          <w:sz w:val="24"/>
          <w:highlight w:val="none"/>
        </w:rPr>
      </w:pPr>
      <w:r>
        <w:rPr>
          <w:rFonts w:hint="eastAsia" w:ascii="宋体" w:hAnsi="宋体"/>
          <w:sz w:val="24"/>
          <w:highlight w:val="none"/>
        </w:rPr>
        <w:t>（3）本项目不接受低于成本报价；</w:t>
      </w:r>
    </w:p>
    <w:p>
      <w:pPr>
        <w:spacing w:line="520" w:lineRule="exact"/>
        <w:ind w:firstLine="480" w:firstLineChars="200"/>
        <w:rPr>
          <w:rFonts w:ascii="宋体" w:hAnsi="宋体"/>
          <w:sz w:val="24"/>
          <w:highlight w:val="none"/>
        </w:rPr>
      </w:pPr>
      <w:r>
        <w:rPr>
          <w:rFonts w:hint="eastAsia" w:ascii="宋体" w:hAnsi="宋体"/>
          <w:sz w:val="24"/>
          <w:highlight w:val="none"/>
        </w:rPr>
        <w:t>（4）本项目不接受不平衡报价；</w:t>
      </w:r>
    </w:p>
    <w:p>
      <w:pPr>
        <w:spacing w:line="520" w:lineRule="exact"/>
        <w:ind w:firstLine="480" w:firstLineChars="200"/>
        <w:rPr>
          <w:rFonts w:ascii="宋体" w:hAnsi="宋体"/>
          <w:sz w:val="24"/>
          <w:highlight w:val="none"/>
        </w:rPr>
      </w:pPr>
      <w:r>
        <w:rPr>
          <w:rFonts w:hint="eastAsia" w:ascii="宋体" w:hAnsi="宋体"/>
          <w:sz w:val="24"/>
          <w:highlight w:val="none"/>
        </w:rPr>
        <w:t>（5）本项目不接受负偏离；</w:t>
      </w:r>
    </w:p>
    <w:p>
      <w:pPr>
        <w:spacing w:line="520" w:lineRule="exact"/>
        <w:ind w:firstLine="480" w:firstLineChars="200"/>
        <w:rPr>
          <w:rFonts w:ascii="宋体" w:hAnsi="宋体"/>
          <w:sz w:val="24"/>
          <w:highlight w:val="none"/>
        </w:rPr>
      </w:pPr>
      <w:r>
        <w:rPr>
          <w:rFonts w:hint="eastAsia" w:ascii="宋体" w:hAnsi="宋体"/>
          <w:sz w:val="24"/>
          <w:highlight w:val="none"/>
        </w:rPr>
        <w:t>（6）在任何评审环节中，需磋商小组就某项定性的评审结论做出表决的，由磋商小组全体成员按照少数服从多数的原则，以记名投票方式表决。</w:t>
      </w:r>
    </w:p>
    <w:p>
      <w:pPr>
        <w:spacing w:line="520" w:lineRule="exact"/>
        <w:ind w:firstLine="480" w:firstLineChars="200"/>
        <w:rPr>
          <w:rFonts w:ascii="宋体" w:hAnsi="宋体"/>
          <w:sz w:val="24"/>
          <w:highlight w:val="none"/>
        </w:rPr>
      </w:pPr>
      <w:r>
        <w:rPr>
          <w:rFonts w:hint="eastAsia" w:ascii="宋体" w:hAnsi="宋体"/>
          <w:sz w:val="24"/>
          <w:highlight w:val="none"/>
        </w:rPr>
        <w:t>（7）关联公司之间业绩不认可，关联公司情形见竞争性磋商公告。</w:t>
      </w:r>
    </w:p>
    <w:p>
      <w:pPr>
        <w:spacing w:line="520" w:lineRule="exact"/>
        <w:ind w:firstLine="480" w:firstLineChars="200"/>
        <w:rPr>
          <w:rFonts w:ascii="宋体" w:hAnsi="宋体"/>
          <w:sz w:val="24"/>
          <w:highlight w:val="none"/>
        </w:rPr>
      </w:pPr>
      <w:r>
        <w:rPr>
          <w:rFonts w:hint="eastAsia" w:ascii="宋体" w:hAnsi="宋体"/>
          <w:sz w:val="24"/>
          <w:highlight w:val="none"/>
        </w:rPr>
        <w:t xml:space="preserve"> 磋商小组发现投标人的报价明显低于成本，应当要求该投标人做出书面说明并提供相应证明材料，投标人不能合理说明或者不能提供相应证明材料，由磋商小组全体成员按照少数服从多数的原则，以记名投票方式表决。</w:t>
      </w:r>
    </w:p>
    <w:p>
      <w:pPr>
        <w:spacing w:line="520" w:lineRule="exact"/>
        <w:ind w:firstLine="480" w:firstLineChars="200"/>
        <w:rPr>
          <w:rFonts w:ascii="宋体" w:hAnsi="宋体"/>
          <w:sz w:val="24"/>
          <w:highlight w:val="none"/>
        </w:rPr>
      </w:pPr>
      <w:r>
        <w:rPr>
          <w:rFonts w:hint="eastAsia" w:ascii="宋体" w:hAnsi="宋体"/>
          <w:sz w:val="24"/>
          <w:highlight w:val="none"/>
        </w:rPr>
        <w:t>磋商小组认定该投标人低于成本报价竞标时，其报价做无效报价处理。</w:t>
      </w:r>
    </w:p>
    <w:p>
      <w:pPr>
        <w:spacing w:line="520" w:lineRule="exact"/>
        <w:jc w:val="center"/>
        <w:rPr>
          <w:rFonts w:ascii="宋体" w:hAnsi="宋体"/>
          <w:b/>
          <w:bCs/>
          <w:sz w:val="28"/>
          <w:szCs w:val="28"/>
          <w:highlight w:val="none"/>
        </w:rPr>
      </w:pPr>
    </w:p>
    <w:p>
      <w:pPr>
        <w:spacing w:line="520" w:lineRule="exact"/>
        <w:jc w:val="center"/>
        <w:rPr>
          <w:rFonts w:ascii="宋体" w:hAnsi="宋体"/>
          <w:b/>
          <w:bCs/>
          <w:sz w:val="28"/>
          <w:szCs w:val="28"/>
          <w:highlight w:val="none"/>
        </w:rPr>
      </w:pPr>
    </w:p>
    <w:p>
      <w:pPr>
        <w:spacing w:line="520" w:lineRule="exact"/>
        <w:jc w:val="center"/>
        <w:rPr>
          <w:rFonts w:ascii="宋体" w:hAnsi="宋体"/>
          <w:b/>
          <w:bCs/>
          <w:sz w:val="28"/>
          <w:szCs w:val="28"/>
          <w:highlight w:val="none"/>
        </w:rPr>
      </w:pPr>
    </w:p>
    <w:p>
      <w:pPr>
        <w:spacing w:line="520" w:lineRule="exact"/>
        <w:jc w:val="center"/>
        <w:rPr>
          <w:rFonts w:ascii="宋体" w:hAnsi="宋体"/>
          <w:b/>
          <w:bCs/>
          <w:sz w:val="28"/>
          <w:szCs w:val="28"/>
          <w:highlight w:val="none"/>
        </w:rPr>
      </w:pPr>
    </w:p>
    <w:p>
      <w:pPr>
        <w:spacing w:line="520" w:lineRule="exact"/>
        <w:jc w:val="center"/>
        <w:rPr>
          <w:rFonts w:ascii="宋体" w:hAnsi="宋体"/>
          <w:b/>
          <w:bCs/>
          <w:sz w:val="28"/>
          <w:szCs w:val="28"/>
          <w:highlight w:val="none"/>
        </w:rPr>
      </w:pPr>
    </w:p>
    <w:p>
      <w:pPr>
        <w:spacing w:line="520" w:lineRule="exact"/>
        <w:jc w:val="center"/>
        <w:rPr>
          <w:rFonts w:ascii="宋体" w:hAnsi="宋体"/>
          <w:b/>
          <w:bCs/>
          <w:sz w:val="28"/>
          <w:szCs w:val="28"/>
          <w:highlight w:val="none"/>
        </w:rPr>
      </w:pPr>
    </w:p>
    <w:p>
      <w:pPr>
        <w:spacing w:line="520" w:lineRule="exact"/>
        <w:jc w:val="center"/>
        <w:rPr>
          <w:rFonts w:ascii="宋体" w:hAnsi="宋体"/>
          <w:b/>
          <w:bCs/>
          <w:sz w:val="28"/>
          <w:szCs w:val="28"/>
          <w:highlight w:val="none"/>
        </w:rPr>
      </w:pPr>
    </w:p>
    <w:p>
      <w:pPr>
        <w:spacing w:line="520" w:lineRule="exact"/>
        <w:jc w:val="center"/>
        <w:rPr>
          <w:rFonts w:ascii="宋体" w:hAnsi="宋体"/>
          <w:b/>
          <w:bCs/>
          <w:sz w:val="28"/>
          <w:szCs w:val="28"/>
          <w:highlight w:val="none"/>
        </w:rPr>
      </w:pPr>
    </w:p>
    <w:p>
      <w:pPr>
        <w:pStyle w:val="2"/>
        <w:ind w:firstLine="562"/>
        <w:rPr>
          <w:b/>
          <w:bCs/>
          <w:sz w:val="28"/>
          <w:szCs w:val="28"/>
          <w:highlight w:val="none"/>
        </w:rPr>
      </w:pPr>
    </w:p>
    <w:p>
      <w:pPr>
        <w:pStyle w:val="2"/>
        <w:ind w:firstLine="562"/>
        <w:rPr>
          <w:b/>
          <w:bCs/>
          <w:sz w:val="28"/>
          <w:szCs w:val="28"/>
          <w:highlight w:val="none"/>
        </w:rPr>
      </w:pPr>
    </w:p>
    <w:p>
      <w:pPr>
        <w:pStyle w:val="2"/>
        <w:ind w:firstLine="562"/>
        <w:rPr>
          <w:b/>
          <w:bCs/>
          <w:sz w:val="28"/>
          <w:szCs w:val="28"/>
          <w:highlight w:val="none"/>
        </w:rPr>
      </w:pPr>
    </w:p>
    <w:p>
      <w:pPr>
        <w:pStyle w:val="2"/>
        <w:ind w:firstLine="562"/>
        <w:rPr>
          <w:b/>
          <w:bCs/>
          <w:sz w:val="28"/>
          <w:szCs w:val="28"/>
          <w:highlight w:val="none"/>
        </w:rPr>
      </w:pPr>
    </w:p>
    <w:p>
      <w:pPr>
        <w:pStyle w:val="2"/>
        <w:ind w:firstLine="562"/>
        <w:rPr>
          <w:b/>
          <w:bCs/>
          <w:sz w:val="28"/>
          <w:szCs w:val="28"/>
          <w:highlight w:val="none"/>
        </w:rPr>
      </w:pPr>
    </w:p>
    <w:p>
      <w:pPr>
        <w:pStyle w:val="2"/>
        <w:ind w:firstLine="562"/>
        <w:rPr>
          <w:b/>
          <w:bCs/>
          <w:sz w:val="28"/>
          <w:szCs w:val="28"/>
          <w:highlight w:val="none"/>
        </w:rPr>
      </w:pPr>
    </w:p>
    <w:p>
      <w:pPr>
        <w:pStyle w:val="2"/>
        <w:ind w:firstLine="562"/>
        <w:rPr>
          <w:b/>
          <w:bCs/>
          <w:sz w:val="28"/>
          <w:szCs w:val="28"/>
          <w:highlight w:val="none"/>
        </w:rPr>
      </w:pPr>
    </w:p>
    <w:p>
      <w:pPr>
        <w:pStyle w:val="2"/>
        <w:ind w:firstLine="562"/>
        <w:rPr>
          <w:b/>
          <w:bCs/>
          <w:sz w:val="28"/>
          <w:szCs w:val="28"/>
          <w:highlight w:val="none"/>
        </w:rPr>
      </w:pPr>
    </w:p>
    <w:p>
      <w:pPr>
        <w:spacing w:line="520" w:lineRule="exact"/>
        <w:jc w:val="center"/>
        <w:rPr>
          <w:rFonts w:ascii="宋体" w:hAnsi="宋体"/>
          <w:b/>
          <w:bCs/>
          <w:sz w:val="28"/>
          <w:szCs w:val="28"/>
          <w:highlight w:val="none"/>
        </w:rPr>
      </w:pPr>
    </w:p>
    <w:p>
      <w:pPr>
        <w:spacing w:line="520" w:lineRule="exact"/>
        <w:jc w:val="center"/>
        <w:rPr>
          <w:rFonts w:ascii="宋体" w:hAnsi="宋体"/>
          <w:b/>
          <w:bCs/>
          <w:sz w:val="28"/>
          <w:szCs w:val="28"/>
          <w:highlight w:val="none"/>
        </w:rPr>
      </w:pPr>
    </w:p>
    <w:p>
      <w:pPr>
        <w:spacing w:line="520" w:lineRule="exact"/>
        <w:jc w:val="center"/>
        <w:rPr>
          <w:rFonts w:ascii="宋体" w:hAnsi="宋体"/>
          <w:b/>
          <w:bCs/>
          <w:sz w:val="28"/>
          <w:szCs w:val="28"/>
          <w:highlight w:val="none"/>
        </w:rPr>
      </w:pPr>
      <w:r>
        <w:rPr>
          <w:rFonts w:hint="eastAsia" w:ascii="宋体" w:hAnsi="宋体"/>
          <w:b/>
          <w:bCs/>
          <w:sz w:val="28"/>
          <w:szCs w:val="28"/>
          <w:highlight w:val="none"/>
        </w:rPr>
        <w:t>评分细则表：</w:t>
      </w:r>
    </w:p>
    <w:tbl>
      <w:tblPr>
        <w:tblStyle w:val="19"/>
        <w:tblW w:w="9320" w:type="dxa"/>
        <w:tblInd w:w="7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trPr>
        <w:tc>
          <w:tcPr>
            <w:tcW w:w="1544" w:type="dxa"/>
            <w:vAlign w:val="center"/>
          </w:tcPr>
          <w:p>
            <w:pPr>
              <w:autoSpaceDE w:val="0"/>
              <w:autoSpaceDN w:val="0"/>
              <w:adjustRightInd w:val="0"/>
              <w:spacing w:line="360" w:lineRule="auto"/>
              <w:jc w:val="left"/>
              <w:rPr>
                <w:rFonts w:asciiTheme="minorEastAsia" w:hAnsiTheme="minorEastAsia" w:cstheme="minorEastAsia"/>
                <w:kern w:val="0"/>
                <w:sz w:val="24"/>
                <w:highlight w:val="none"/>
              </w:rPr>
            </w:pPr>
            <w:bookmarkStart w:id="524" w:name="_Toc428881020"/>
            <w:bookmarkEnd w:id="524"/>
            <w:r>
              <w:rPr>
                <w:rFonts w:hint="eastAsia" w:asciiTheme="minorEastAsia" w:hAnsiTheme="minorEastAsia" w:cstheme="minorEastAsia"/>
                <w:kern w:val="0"/>
                <w:sz w:val="24"/>
                <w:highlight w:val="none"/>
              </w:rPr>
              <w:t>投标报价</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评分标准</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w:t>
            </w:r>
            <w:r>
              <w:rPr>
                <w:rFonts w:hint="eastAsia" w:asciiTheme="minorEastAsia" w:hAnsiTheme="minorEastAsia" w:cstheme="minorEastAsia"/>
                <w:kern w:val="0"/>
                <w:sz w:val="24"/>
                <w:highlight w:val="none"/>
                <w:lang w:val="en-US" w:eastAsia="zh-CN"/>
              </w:rPr>
              <w:t>15</w:t>
            </w:r>
            <w:r>
              <w:rPr>
                <w:rFonts w:hint="eastAsia" w:asciiTheme="minorEastAsia" w:hAnsiTheme="minorEastAsia" w:cstheme="minorEastAsia"/>
                <w:kern w:val="0"/>
                <w:sz w:val="24"/>
                <w:highlight w:val="none"/>
              </w:rPr>
              <w:t>分)</w:t>
            </w:r>
          </w:p>
        </w:tc>
        <w:tc>
          <w:tcPr>
            <w:tcW w:w="7776" w:type="dxa"/>
            <w:vAlign w:val="center"/>
          </w:tcPr>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本项目采用低价优先法，即满足磋商文件要求且最后报价最低的供应商的价格为磋商基准价，其价格分为满分</w:t>
            </w:r>
            <w:r>
              <w:rPr>
                <w:rFonts w:hint="eastAsia" w:asciiTheme="minorEastAsia" w:hAnsiTheme="minorEastAsia" w:cstheme="minorEastAsia"/>
                <w:kern w:val="0"/>
                <w:sz w:val="24"/>
                <w:highlight w:val="none"/>
                <w:lang w:val="en-US" w:eastAsia="zh-CN"/>
              </w:rPr>
              <w:t>15</w:t>
            </w:r>
            <w:r>
              <w:rPr>
                <w:rFonts w:hint="eastAsia" w:asciiTheme="minorEastAsia" w:hAnsiTheme="minorEastAsia" w:cstheme="minorEastAsia"/>
                <w:kern w:val="0"/>
                <w:sz w:val="24"/>
                <w:highlight w:val="none"/>
              </w:rPr>
              <w:t>分。</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磋商报价得分=（磋商基准价/最后磋商报价）×价格权值×100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2" w:hRule="atLeast"/>
        </w:trPr>
        <w:tc>
          <w:tcPr>
            <w:tcW w:w="1544" w:type="dxa"/>
            <w:vAlign w:val="center"/>
          </w:tcPr>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技术文件</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评分标准</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w:t>
            </w:r>
            <w:r>
              <w:rPr>
                <w:rFonts w:hint="eastAsia" w:asciiTheme="minorEastAsia" w:hAnsiTheme="minorEastAsia" w:cstheme="minorEastAsia"/>
                <w:kern w:val="0"/>
                <w:sz w:val="24"/>
                <w:highlight w:val="none"/>
                <w:lang w:val="en-US" w:eastAsia="zh-CN"/>
              </w:rPr>
              <w:t>56</w:t>
            </w:r>
            <w:r>
              <w:rPr>
                <w:rFonts w:hint="eastAsia" w:asciiTheme="minorEastAsia" w:hAnsiTheme="minorEastAsia" w:cstheme="minorEastAsia"/>
                <w:kern w:val="0"/>
                <w:sz w:val="24"/>
                <w:highlight w:val="none"/>
              </w:rPr>
              <w:t>分）</w:t>
            </w:r>
          </w:p>
        </w:tc>
        <w:tc>
          <w:tcPr>
            <w:tcW w:w="7776" w:type="dxa"/>
            <w:vAlign w:val="center"/>
          </w:tcPr>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（1）设计工作的指导思想及设计质量目标；</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（2）设计项目组织机构及人员安排；</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（3）设计工作进度计划及保证措施；</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（4）设计质量保证体系及质量保证措施；</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（5）设计工作投资控制保证措施；</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（6）组织协调与技术保障方案；</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（7）初步设计思路、设计方案及对消防设计等方面的考量；</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（8）后续服务工作安排及承诺。</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根据每项的合理可行程度各得1-</w:t>
            </w:r>
            <w:r>
              <w:rPr>
                <w:rFonts w:hint="eastAsia" w:asciiTheme="minorEastAsia" w:hAnsiTheme="minorEastAsia" w:cstheme="minorEastAsia"/>
                <w:kern w:val="0"/>
                <w:sz w:val="24"/>
                <w:highlight w:val="none"/>
                <w:lang w:val="en-US" w:eastAsia="zh-CN"/>
              </w:rPr>
              <w:t>7</w:t>
            </w:r>
            <w:r>
              <w:rPr>
                <w:rFonts w:hint="eastAsia" w:asciiTheme="minorEastAsia" w:hAnsiTheme="minorEastAsia" w:cstheme="minorEastAsia"/>
                <w:kern w:val="0"/>
                <w:sz w:val="24"/>
                <w:highlight w:val="none"/>
              </w:rPr>
              <w:t>分，缺项或不合理不可行不得分。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2" w:hRule="atLeast"/>
        </w:trPr>
        <w:tc>
          <w:tcPr>
            <w:tcW w:w="1544" w:type="dxa"/>
            <w:vAlign w:val="center"/>
          </w:tcPr>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项目人员配备及企业信誉</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w:t>
            </w:r>
            <w:r>
              <w:rPr>
                <w:rFonts w:hint="eastAsia" w:asciiTheme="minorEastAsia" w:hAnsiTheme="minorEastAsia" w:cstheme="minorEastAsia"/>
                <w:kern w:val="0"/>
                <w:sz w:val="24"/>
                <w:highlight w:val="none"/>
                <w:lang w:val="en-US" w:eastAsia="zh-CN"/>
              </w:rPr>
              <w:t>25</w:t>
            </w:r>
            <w:r>
              <w:rPr>
                <w:rFonts w:hint="eastAsia" w:asciiTheme="minorEastAsia" w:hAnsiTheme="minorEastAsia" w:cstheme="minorEastAsia"/>
                <w:kern w:val="0"/>
                <w:sz w:val="24"/>
                <w:highlight w:val="none"/>
              </w:rPr>
              <w:t>分）</w:t>
            </w:r>
          </w:p>
        </w:tc>
        <w:tc>
          <w:tcPr>
            <w:tcW w:w="7776" w:type="dxa"/>
            <w:vAlign w:val="center"/>
          </w:tcPr>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1、项目负责人具有高级职称加</w:t>
            </w:r>
            <w:r>
              <w:rPr>
                <w:rFonts w:hint="eastAsia" w:asciiTheme="minorEastAsia" w:hAnsiTheme="minorEastAsia" w:cstheme="minorEastAsia"/>
                <w:kern w:val="0"/>
                <w:sz w:val="24"/>
                <w:highlight w:val="none"/>
                <w:lang w:val="en-US" w:eastAsia="zh-CN"/>
              </w:rPr>
              <w:t>3</w:t>
            </w:r>
            <w:r>
              <w:rPr>
                <w:rFonts w:hint="eastAsia" w:asciiTheme="minorEastAsia" w:hAnsiTheme="minorEastAsia" w:cstheme="minorEastAsia"/>
                <w:kern w:val="0"/>
                <w:sz w:val="24"/>
                <w:highlight w:val="none"/>
              </w:rPr>
              <w:t>分，最多得</w:t>
            </w:r>
            <w:r>
              <w:rPr>
                <w:rFonts w:hint="eastAsia" w:asciiTheme="minorEastAsia" w:hAnsiTheme="minorEastAsia" w:cstheme="minorEastAsia"/>
                <w:kern w:val="0"/>
                <w:sz w:val="24"/>
                <w:highlight w:val="none"/>
                <w:lang w:val="en-US" w:eastAsia="zh-CN"/>
              </w:rPr>
              <w:t>3</w:t>
            </w:r>
            <w:r>
              <w:rPr>
                <w:rFonts w:hint="eastAsia" w:asciiTheme="minorEastAsia" w:hAnsiTheme="minorEastAsia" w:cstheme="minorEastAsia"/>
                <w:kern w:val="0"/>
                <w:sz w:val="24"/>
                <w:highlight w:val="none"/>
              </w:rPr>
              <w:t>分；（需提供证书原件）</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2、项目负责人具有一级注册建筑师证加</w:t>
            </w:r>
            <w:r>
              <w:rPr>
                <w:rFonts w:hint="eastAsia" w:asciiTheme="minorEastAsia" w:hAnsiTheme="minorEastAsia" w:cstheme="minorEastAsia"/>
                <w:kern w:val="0"/>
                <w:sz w:val="24"/>
                <w:highlight w:val="none"/>
                <w:lang w:val="en-US" w:eastAsia="zh-CN"/>
              </w:rPr>
              <w:t>3</w:t>
            </w:r>
            <w:r>
              <w:rPr>
                <w:rFonts w:hint="eastAsia" w:asciiTheme="minorEastAsia" w:hAnsiTheme="minorEastAsia" w:cstheme="minorEastAsia"/>
                <w:kern w:val="0"/>
                <w:sz w:val="24"/>
                <w:highlight w:val="none"/>
              </w:rPr>
              <w:t>分，最多得</w:t>
            </w:r>
            <w:r>
              <w:rPr>
                <w:rFonts w:hint="eastAsia" w:asciiTheme="minorEastAsia" w:hAnsiTheme="minorEastAsia" w:cstheme="minorEastAsia"/>
                <w:kern w:val="0"/>
                <w:sz w:val="24"/>
                <w:highlight w:val="none"/>
                <w:lang w:val="en-US" w:eastAsia="zh-CN"/>
              </w:rPr>
              <w:t>3</w:t>
            </w:r>
            <w:r>
              <w:rPr>
                <w:rFonts w:hint="eastAsia" w:asciiTheme="minorEastAsia" w:hAnsiTheme="minorEastAsia" w:cstheme="minorEastAsia"/>
                <w:kern w:val="0"/>
                <w:sz w:val="24"/>
                <w:highlight w:val="none"/>
              </w:rPr>
              <w:t>分；（需提供证书原件）</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3、同时具有质量管理体系认证证书、职业健康安全管理体系认证证书、环境管理体系认证证书，每有一项得1分，本项最高得</w:t>
            </w:r>
            <w:r>
              <w:rPr>
                <w:rFonts w:hint="eastAsia" w:asciiTheme="minorEastAsia" w:hAnsiTheme="minorEastAsia" w:cstheme="minorEastAsia"/>
                <w:kern w:val="0"/>
                <w:sz w:val="24"/>
                <w:highlight w:val="none"/>
                <w:lang w:val="en-US" w:eastAsia="zh-CN"/>
              </w:rPr>
              <w:t>3</w:t>
            </w:r>
            <w:r>
              <w:rPr>
                <w:rFonts w:hint="eastAsia" w:asciiTheme="minorEastAsia" w:hAnsiTheme="minorEastAsia" w:cstheme="minorEastAsia"/>
                <w:kern w:val="0"/>
                <w:sz w:val="24"/>
                <w:highlight w:val="none"/>
              </w:rPr>
              <w:t>分。（以有效期内的认证证书原件为准）；</w:t>
            </w:r>
          </w:p>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4、企业近三年（2016年1月1日至今）完成同类业绩，设计面积2000㎡-2999㎡的业绩，每有一项得</w:t>
            </w:r>
            <w:r>
              <w:rPr>
                <w:rFonts w:hint="eastAsia" w:asciiTheme="minorEastAsia" w:hAnsiTheme="minorEastAsia" w:cstheme="minorEastAsia"/>
                <w:kern w:val="0"/>
                <w:sz w:val="24"/>
                <w:highlight w:val="none"/>
                <w:lang w:val="en-US" w:eastAsia="zh-CN"/>
              </w:rPr>
              <w:t>2</w:t>
            </w:r>
            <w:r>
              <w:rPr>
                <w:rFonts w:hint="eastAsia" w:asciiTheme="minorEastAsia" w:hAnsiTheme="minorEastAsia" w:cstheme="minorEastAsia"/>
                <w:kern w:val="0"/>
                <w:sz w:val="24"/>
                <w:highlight w:val="none"/>
              </w:rPr>
              <w:t>分；设计面积3000㎡-4000㎡的业绩，每有一项得</w:t>
            </w:r>
            <w:r>
              <w:rPr>
                <w:rFonts w:hint="eastAsia" w:asciiTheme="minorEastAsia" w:hAnsiTheme="minorEastAsia" w:cstheme="minorEastAsia"/>
                <w:kern w:val="0"/>
                <w:sz w:val="24"/>
                <w:highlight w:val="none"/>
                <w:lang w:val="en-US" w:eastAsia="zh-CN"/>
              </w:rPr>
              <w:t>3</w:t>
            </w:r>
            <w:r>
              <w:rPr>
                <w:rFonts w:hint="eastAsia" w:asciiTheme="minorEastAsia" w:hAnsiTheme="minorEastAsia" w:cstheme="minorEastAsia"/>
                <w:kern w:val="0"/>
                <w:sz w:val="24"/>
                <w:highlight w:val="none"/>
              </w:rPr>
              <w:t>分；设计面积4000㎡以上的业绩，每有一项得</w:t>
            </w:r>
            <w:r>
              <w:rPr>
                <w:rFonts w:hint="eastAsia" w:asciiTheme="minorEastAsia" w:hAnsiTheme="minorEastAsia" w:cstheme="minorEastAsia"/>
                <w:kern w:val="0"/>
                <w:sz w:val="24"/>
                <w:highlight w:val="none"/>
                <w:lang w:val="en-US" w:eastAsia="zh-CN"/>
              </w:rPr>
              <w:t>4</w:t>
            </w:r>
            <w:r>
              <w:rPr>
                <w:rFonts w:hint="eastAsia" w:asciiTheme="minorEastAsia" w:hAnsiTheme="minorEastAsia" w:cstheme="minorEastAsia"/>
                <w:kern w:val="0"/>
                <w:sz w:val="24"/>
                <w:highlight w:val="none"/>
              </w:rPr>
              <w:t>分；本项最多得</w:t>
            </w:r>
            <w:r>
              <w:rPr>
                <w:rFonts w:hint="eastAsia" w:asciiTheme="minorEastAsia" w:hAnsiTheme="minorEastAsia" w:cstheme="minorEastAsia"/>
                <w:kern w:val="0"/>
                <w:sz w:val="24"/>
                <w:highlight w:val="none"/>
                <w:lang w:val="en-US" w:eastAsia="zh-CN"/>
              </w:rPr>
              <w:t>16</w:t>
            </w:r>
            <w:r>
              <w:rPr>
                <w:rFonts w:hint="eastAsia" w:asciiTheme="minorEastAsia" w:hAnsiTheme="minorEastAsia" w:cstheme="minorEastAsia"/>
                <w:kern w:val="0"/>
                <w:sz w:val="24"/>
                <w:highlight w:val="none"/>
              </w:rPr>
              <w:t>分。（</w:t>
            </w:r>
            <w:r>
              <w:rPr>
                <w:rFonts w:hint="eastAsia" w:asciiTheme="minorEastAsia" w:hAnsiTheme="minorEastAsia" w:cstheme="minorEastAsia"/>
                <w:kern w:val="0"/>
                <w:sz w:val="24"/>
                <w:highlight w:val="none"/>
                <w:lang w:eastAsia="zh-CN"/>
              </w:rPr>
              <w:t>需提供合同原件，</w:t>
            </w:r>
            <w:r>
              <w:rPr>
                <w:rFonts w:hint="eastAsia" w:asciiTheme="minorEastAsia" w:hAnsiTheme="minorEastAsia" w:cstheme="minorEastAsia"/>
                <w:kern w:val="0"/>
                <w:sz w:val="24"/>
                <w:highlight w:val="none"/>
              </w:rPr>
              <w:t>时间以合同签订时间为准，同一项目不重复计分</w:t>
            </w:r>
            <w:r>
              <w:rPr>
                <w:rFonts w:hint="eastAsia" w:asciiTheme="minorEastAsia" w:hAnsiTheme="minorEastAsia" w:cstheme="minorEastAsia"/>
                <w:kern w:val="0"/>
                <w:sz w:val="24"/>
                <w:highlight w:val="none"/>
                <w:lang w:eastAsia="zh-CN"/>
              </w:rPr>
              <w:t>。</w:t>
            </w:r>
            <w:r>
              <w:rPr>
                <w:rFonts w:hint="eastAsia" w:asciiTheme="minorEastAsia" w:hAnsiTheme="minorEastAsia" w:cstheme="minorEastAsia"/>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 w:hRule="atLeast"/>
        </w:trPr>
        <w:tc>
          <w:tcPr>
            <w:tcW w:w="1544" w:type="dxa"/>
            <w:vAlign w:val="center"/>
          </w:tcPr>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sz w:val="24"/>
                <w:highlight w:val="none"/>
              </w:rPr>
              <w:t>合理化建议及优惠条件（</w:t>
            </w:r>
            <w:r>
              <w:rPr>
                <w:rFonts w:hint="eastAsia"/>
                <w:sz w:val="24"/>
                <w:highlight w:val="none"/>
                <w:lang w:val="en-US" w:eastAsia="zh-CN"/>
              </w:rPr>
              <w:t>4</w:t>
            </w:r>
            <w:r>
              <w:rPr>
                <w:rFonts w:hint="eastAsia"/>
                <w:sz w:val="24"/>
                <w:highlight w:val="none"/>
              </w:rPr>
              <w:t>分）</w:t>
            </w:r>
          </w:p>
        </w:tc>
        <w:tc>
          <w:tcPr>
            <w:tcW w:w="7776" w:type="dxa"/>
            <w:vAlign w:val="center"/>
          </w:tcPr>
          <w:p>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lang w:val="zh-CN"/>
              </w:rPr>
              <w:t>经评标委员会认可的合理化建议及实质性优惠条件，每项得</w:t>
            </w:r>
            <w:r>
              <w:rPr>
                <w:rFonts w:hint="eastAsia" w:asciiTheme="minorEastAsia" w:hAnsiTheme="minorEastAsia" w:cstheme="minorEastAsia"/>
                <w:kern w:val="0"/>
                <w:sz w:val="24"/>
                <w:highlight w:val="none"/>
              </w:rPr>
              <w:t>1</w:t>
            </w:r>
            <w:r>
              <w:rPr>
                <w:rFonts w:hint="eastAsia" w:asciiTheme="minorEastAsia" w:hAnsiTheme="minorEastAsia" w:cstheme="minorEastAsia"/>
                <w:kern w:val="0"/>
                <w:sz w:val="24"/>
                <w:highlight w:val="none"/>
                <w:lang w:val="zh-CN"/>
              </w:rPr>
              <w:t>分，最多得</w:t>
            </w:r>
            <w:r>
              <w:rPr>
                <w:rFonts w:hint="eastAsia" w:asciiTheme="minorEastAsia" w:hAnsiTheme="minorEastAsia" w:cstheme="minorEastAsia"/>
                <w:kern w:val="0"/>
                <w:sz w:val="24"/>
                <w:highlight w:val="none"/>
                <w:lang w:val="en-US" w:eastAsia="zh-CN"/>
              </w:rPr>
              <w:t>4</w:t>
            </w:r>
            <w:r>
              <w:rPr>
                <w:rFonts w:hint="eastAsia" w:asciiTheme="minorEastAsia" w:hAnsiTheme="minorEastAsia" w:cstheme="minorEastAsia"/>
                <w:kern w:val="0"/>
                <w:sz w:val="24"/>
                <w:highlight w:val="none"/>
                <w:lang w:val="zh-CN"/>
              </w:rPr>
              <w:t>分。</w:t>
            </w:r>
          </w:p>
        </w:tc>
      </w:tr>
    </w:tbl>
    <w:p>
      <w:pPr>
        <w:snapToGrid w:val="0"/>
        <w:spacing w:line="360" w:lineRule="auto"/>
        <w:ind w:firstLine="562" w:firstLineChars="200"/>
        <w:rPr>
          <w:rFonts w:ascii="宋体" w:hAnsi="宋体"/>
          <w:b/>
          <w:bCs/>
          <w:sz w:val="28"/>
          <w:szCs w:val="28"/>
          <w:highlight w:val="none"/>
        </w:rPr>
      </w:pPr>
      <w:r>
        <w:rPr>
          <w:rFonts w:hint="eastAsia" w:ascii="宋体" w:hAnsi="宋体"/>
          <w:b/>
          <w:bCs/>
          <w:sz w:val="28"/>
          <w:szCs w:val="28"/>
          <w:highlight w:val="none"/>
        </w:rPr>
        <w:t>备注：</w:t>
      </w:r>
    </w:p>
    <w:p>
      <w:pPr>
        <w:numPr>
          <w:ilvl w:val="0"/>
          <w:numId w:val="3"/>
        </w:numPr>
        <w:snapToGrid w:val="0"/>
        <w:spacing w:line="360" w:lineRule="auto"/>
        <w:ind w:firstLine="562" w:firstLineChars="200"/>
        <w:rPr>
          <w:rFonts w:ascii="宋体" w:hAnsi="宋体"/>
          <w:b/>
          <w:bCs/>
          <w:sz w:val="28"/>
          <w:szCs w:val="28"/>
          <w:highlight w:val="none"/>
        </w:rPr>
      </w:pPr>
      <w:r>
        <w:rPr>
          <w:rFonts w:hint="eastAsia" w:ascii="宋体" w:hAnsi="宋体"/>
          <w:b/>
          <w:bCs/>
          <w:sz w:val="28"/>
          <w:szCs w:val="28"/>
          <w:highlight w:val="none"/>
        </w:rPr>
        <w:t>磋商文件中有关涉加分的项目（高级职称、一级注册建筑师证、质量管理体系认证证书）证明资料必须携带原件由磋商小组现场查验真实性，否则该项不得分；</w:t>
      </w:r>
    </w:p>
    <w:p>
      <w:pPr>
        <w:numPr>
          <w:ilvl w:val="0"/>
          <w:numId w:val="3"/>
        </w:numPr>
        <w:snapToGrid w:val="0"/>
        <w:spacing w:line="360" w:lineRule="auto"/>
        <w:ind w:firstLine="562" w:firstLineChars="200"/>
        <w:rPr>
          <w:rFonts w:hint="eastAsia" w:ascii="宋体" w:hAnsi="宋体"/>
          <w:b/>
          <w:bCs/>
          <w:sz w:val="28"/>
          <w:szCs w:val="28"/>
          <w:highlight w:val="none"/>
        </w:rPr>
      </w:pPr>
      <w:r>
        <w:rPr>
          <w:rFonts w:hint="eastAsia" w:ascii="宋体" w:hAnsi="宋体"/>
          <w:b/>
          <w:bCs/>
          <w:sz w:val="28"/>
          <w:szCs w:val="28"/>
          <w:highlight w:val="none"/>
        </w:rPr>
        <w:t>证书应明确颁发日期，证书以颁发年度为准；</w:t>
      </w:r>
    </w:p>
    <w:p>
      <w:pPr>
        <w:numPr>
          <w:ilvl w:val="0"/>
          <w:numId w:val="3"/>
        </w:numPr>
        <w:snapToGrid w:val="0"/>
        <w:spacing w:line="360" w:lineRule="auto"/>
        <w:ind w:firstLine="562" w:firstLineChars="200"/>
        <w:rPr>
          <w:rFonts w:hint="eastAsia" w:ascii="宋体" w:hAnsi="宋体"/>
          <w:b/>
          <w:bCs/>
          <w:sz w:val="28"/>
          <w:szCs w:val="28"/>
          <w:highlight w:val="none"/>
        </w:rPr>
      </w:pPr>
      <w:r>
        <w:rPr>
          <w:rFonts w:hint="eastAsia" w:ascii="宋体" w:hAnsi="宋体"/>
          <w:b/>
          <w:bCs/>
          <w:sz w:val="28"/>
          <w:szCs w:val="28"/>
          <w:highlight w:val="none"/>
        </w:rPr>
        <w:t>评分分值计算保留小数点后两位，小数点后第三位“四舍五入”。</w:t>
      </w:r>
    </w:p>
    <w:p>
      <w:pPr>
        <w:numPr>
          <w:ilvl w:val="0"/>
          <w:numId w:val="3"/>
        </w:numPr>
        <w:snapToGrid w:val="0"/>
        <w:spacing w:line="360" w:lineRule="auto"/>
        <w:ind w:firstLine="562" w:firstLineChars="200"/>
        <w:rPr>
          <w:rFonts w:hint="eastAsia" w:ascii="宋体" w:hAnsi="宋体"/>
          <w:b/>
          <w:bCs/>
          <w:sz w:val="28"/>
          <w:szCs w:val="28"/>
          <w:highlight w:val="none"/>
          <w:lang w:val="en-US"/>
        </w:rPr>
      </w:pPr>
      <w:r>
        <w:rPr>
          <w:rFonts w:hint="eastAsia" w:ascii="宋体" w:hAnsi="宋体"/>
          <w:b/>
          <w:bCs/>
          <w:sz w:val="28"/>
          <w:szCs w:val="28"/>
          <w:highlight w:val="none"/>
          <w:lang w:val="en-US" w:eastAsia="zh-CN"/>
        </w:rPr>
        <w:t>各磋商小组成员评分的算术平均值为供应商的最终得分。</w:t>
      </w:r>
    </w:p>
    <w:p>
      <w:pPr>
        <w:pStyle w:val="2"/>
      </w:pPr>
      <w:bookmarkStart w:id="679" w:name="_GoBack"/>
      <w:bookmarkEnd w:id="679"/>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pStyle w:val="2"/>
        <w:ind w:firstLine="482"/>
        <w:rPr>
          <w:b/>
          <w:bCs/>
          <w:szCs w:val="21"/>
          <w:highlight w:val="none"/>
        </w:rPr>
      </w:pPr>
    </w:p>
    <w:p>
      <w:pPr>
        <w:spacing w:line="300" w:lineRule="exact"/>
        <w:rPr>
          <w:rFonts w:ascii="宋体" w:hAnsi="宋体"/>
          <w:b/>
          <w:bCs/>
          <w:szCs w:val="21"/>
          <w:highlight w:val="none"/>
        </w:rPr>
      </w:pPr>
    </w:p>
    <w:p>
      <w:pPr>
        <w:pStyle w:val="3"/>
        <w:numPr>
          <w:ilvl w:val="0"/>
          <w:numId w:val="1"/>
        </w:numPr>
        <w:spacing w:after="120" w:line="360" w:lineRule="auto"/>
        <w:jc w:val="center"/>
        <w:rPr>
          <w:highlight w:val="none"/>
        </w:rPr>
      </w:pPr>
      <w:bookmarkStart w:id="525" w:name="_Toc29439"/>
      <w:r>
        <w:rPr>
          <w:rFonts w:hint="eastAsia"/>
          <w:highlight w:val="none"/>
        </w:rPr>
        <w:t>合同条款及格式</w:t>
      </w:r>
      <w:bookmarkEnd w:id="525"/>
    </w:p>
    <w:p>
      <w:pPr>
        <w:rPr>
          <w:highlight w:val="none"/>
        </w:rPr>
      </w:pPr>
    </w:p>
    <w:p>
      <w:pPr>
        <w:spacing w:line="520" w:lineRule="exact"/>
        <w:jc w:val="center"/>
        <w:rPr>
          <w:b/>
          <w:sz w:val="32"/>
          <w:szCs w:val="32"/>
          <w:highlight w:val="none"/>
        </w:rPr>
      </w:pPr>
      <w:r>
        <w:rPr>
          <w:rFonts w:hint="eastAsia"/>
          <w:b/>
          <w:sz w:val="32"/>
          <w:szCs w:val="32"/>
          <w:highlight w:val="none"/>
        </w:rPr>
        <w:t>（采用济宁医学院制式合同）</w:t>
      </w:r>
    </w:p>
    <w:p>
      <w:pPr>
        <w:spacing w:line="520" w:lineRule="exact"/>
        <w:ind w:firstLine="2650" w:firstLineChars="600"/>
        <w:rPr>
          <w:b/>
          <w:sz w:val="44"/>
          <w:szCs w:val="44"/>
          <w:highlight w:val="none"/>
        </w:rPr>
      </w:pPr>
    </w:p>
    <w:p>
      <w:pPr>
        <w:spacing w:line="520" w:lineRule="exact"/>
        <w:ind w:firstLine="2650" w:firstLineChars="600"/>
        <w:rPr>
          <w:b/>
          <w:sz w:val="44"/>
          <w:szCs w:val="44"/>
          <w:highlight w:val="none"/>
        </w:rPr>
      </w:pPr>
    </w:p>
    <w:p>
      <w:pPr>
        <w:spacing w:line="520" w:lineRule="exact"/>
        <w:ind w:firstLine="2650" w:firstLineChars="600"/>
        <w:rPr>
          <w:b/>
          <w:sz w:val="44"/>
          <w:szCs w:val="44"/>
          <w:highlight w:val="none"/>
        </w:rPr>
      </w:pPr>
    </w:p>
    <w:p>
      <w:pPr>
        <w:spacing w:line="520" w:lineRule="exact"/>
        <w:ind w:firstLine="2650" w:firstLineChars="600"/>
        <w:rPr>
          <w:b/>
          <w:sz w:val="44"/>
          <w:szCs w:val="44"/>
          <w:highlight w:val="none"/>
        </w:rPr>
      </w:pPr>
    </w:p>
    <w:p>
      <w:pPr>
        <w:spacing w:line="520" w:lineRule="exact"/>
        <w:ind w:firstLine="2650" w:firstLineChars="600"/>
        <w:rPr>
          <w:b/>
          <w:sz w:val="44"/>
          <w:szCs w:val="44"/>
          <w:highlight w:val="none"/>
        </w:rPr>
      </w:pPr>
    </w:p>
    <w:p>
      <w:pPr>
        <w:spacing w:line="520" w:lineRule="exact"/>
        <w:ind w:firstLine="2650" w:firstLineChars="600"/>
        <w:rPr>
          <w:b/>
          <w:sz w:val="44"/>
          <w:szCs w:val="44"/>
          <w:highlight w:val="none"/>
        </w:rPr>
      </w:pPr>
    </w:p>
    <w:p>
      <w:pPr>
        <w:spacing w:line="520" w:lineRule="exact"/>
        <w:ind w:firstLine="2650" w:firstLineChars="600"/>
        <w:rPr>
          <w:b/>
          <w:sz w:val="44"/>
          <w:szCs w:val="44"/>
          <w:highlight w:val="none"/>
        </w:rPr>
      </w:pPr>
    </w:p>
    <w:p>
      <w:pPr>
        <w:spacing w:line="520" w:lineRule="exact"/>
        <w:ind w:firstLine="2650" w:firstLineChars="600"/>
        <w:rPr>
          <w:b/>
          <w:sz w:val="44"/>
          <w:szCs w:val="44"/>
          <w:highlight w:val="none"/>
        </w:rPr>
      </w:pPr>
    </w:p>
    <w:p>
      <w:pPr>
        <w:spacing w:line="520" w:lineRule="exact"/>
        <w:ind w:firstLine="2650" w:firstLineChars="600"/>
        <w:rPr>
          <w:b/>
          <w:sz w:val="44"/>
          <w:szCs w:val="44"/>
          <w:highlight w:val="none"/>
        </w:rPr>
      </w:pPr>
    </w:p>
    <w:p>
      <w:pPr>
        <w:pStyle w:val="2"/>
        <w:ind w:firstLine="883"/>
        <w:rPr>
          <w:b/>
          <w:sz w:val="44"/>
          <w:szCs w:val="44"/>
          <w:highlight w:val="none"/>
        </w:rPr>
      </w:pPr>
    </w:p>
    <w:p>
      <w:pPr>
        <w:pStyle w:val="2"/>
        <w:ind w:firstLine="883"/>
        <w:rPr>
          <w:b/>
          <w:sz w:val="44"/>
          <w:szCs w:val="44"/>
          <w:highlight w:val="none"/>
        </w:rPr>
      </w:pPr>
    </w:p>
    <w:p>
      <w:pPr>
        <w:pStyle w:val="2"/>
        <w:ind w:firstLine="883"/>
        <w:rPr>
          <w:b/>
          <w:sz w:val="44"/>
          <w:szCs w:val="44"/>
          <w:highlight w:val="none"/>
        </w:rPr>
      </w:pPr>
    </w:p>
    <w:p>
      <w:pPr>
        <w:pStyle w:val="2"/>
        <w:ind w:firstLine="883"/>
        <w:rPr>
          <w:b/>
          <w:sz w:val="44"/>
          <w:szCs w:val="44"/>
          <w:highlight w:val="none"/>
        </w:rPr>
      </w:pPr>
    </w:p>
    <w:p>
      <w:pPr>
        <w:pStyle w:val="2"/>
        <w:ind w:firstLine="883"/>
        <w:rPr>
          <w:b/>
          <w:sz w:val="44"/>
          <w:szCs w:val="44"/>
          <w:highlight w:val="none"/>
        </w:rPr>
      </w:pPr>
    </w:p>
    <w:p>
      <w:pPr>
        <w:pStyle w:val="2"/>
        <w:ind w:firstLine="883"/>
        <w:rPr>
          <w:b/>
          <w:sz w:val="44"/>
          <w:szCs w:val="44"/>
          <w:highlight w:val="none"/>
        </w:rPr>
      </w:pPr>
    </w:p>
    <w:p>
      <w:pPr>
        <w:pStyle w:val="2"/>
        <w:ind w:firstLine="883"/>
        <w:rPr>
          <w:b/>
          <w:sz w:val="44"/>
          <w:szCs w:val="44"/>
          <w:highlight w:val="none"/>
        </w:rPr>
      </w:pPr>
    </w:p>
    <w:p>
      <w:pPr>
        <w:pStyle w:val="2"/>
        <w:ind w:firstLine="883"/>
        <w:rPr>
          <w:b/>
          <w:sz w:val="44"/>
          <w:szCs w:val="44"/>
          <w:highlight w:val="none"/>
        </w:rPr>
      </w:pPr>
    </w:p>
    <w:p>
      <w:pPr>
        <w:pStyle w:val="2"/>
        <w:ind w:firstLine="883"/>
        <w:rPr>
          <w:b/>
          <w:sz w:val="44"/>
          <w:szCs w:val="44"/>
          <w:highlight w:val="none"/>
        </w:rPr>
      </w:pPr>
    </w:p>
    <w:p>
      <w:pPr>
        <w:spacing w:line="520" w:lineRule="exact"/>
        <w:ind w:firstLine="2650" w:firstLineChars="600"/>
        <w:rPr>
          <w:b/>
          <w:sz w:val="44"/>
          <w:szCs w:val="44"/>
          <w:highlight w:val="none"/>
        </w:rPr>
      </w:pPr>
    </w:p>
    <w:p>
      <w:pPr>
        <w:pStyle w:val="2"/>
        <w:ind w:firstLine="0" w:firstLineChars="0"/>
        <w:rPr>
          <w:highlight w:val="none"/>
        </w:rPr>
      </w:pPr>
    </w:p>
    <w:p>
      <w:pPr>
        <w:pStyle w:val="3"/>
        <w:numPr>
          <w:ilvl w:val="0"/>
          <w:numId w:val="1"/>
        </w:numPr>
        <w:spacing w:after="120" w:line="360" w:lineRule="auto"/>
        <w:jc w:val="center"/>
        <w:rPr>
          <w:highlight w:val="none"/>
        </w:rPr>
      </w:pPr>
      <w:bookmarkStart w:id="526" w:name="_Toc11347"/>
      <w:r>
        <w:rPr>
          <w:rFonts w:hint="eastAsia"/>
          <w:highlight w:val="none"/>
        </w:rPr>
        <w:t>项目标准和要求</w:t>
      </w:r>
      <w:bookmarkEnd w:id="526"/>
    </w:p>
    <w:p>
      <w:pPr>
        <w:adjustRightInd w:val="0"/>
        <w:snapToGrid w:val="0"/>
        <w:spacing w:line="288" w:lineRule="auto"/>
        <w:rPr>
          <w:sz w:val="24"/>
          <w:highlight w:val="none"/>
        </w:rPr>
      </w:pPr>
    </w:p>
    <w:p>
      <w:pPr>
        <w:jc w:val="left"/>
        <w:rPr>
          <w:rFonts w:ascii="宋体" w:hAnsi="宋体" w:eastAsia="宋体" w:cs="宋体"/>
          <w:b/>
          <w:sz w:val="28"/>
          <w:szCs w:val="28"/>
          <w:highlight w:val="none"/>
        </w:rPr>
      </w:pPr>
      <w:r>
        <w:rPr>
          <w:rFonts w:hint="eastAsia" w:ascii="宋体" w:hAnsi="宋体" w:eastAsia="宋体" w:cs="宋体"/>
          <w:b/>
          <w:sz w:val="28"/>
          <w:szCs w:val="28"/>
          <w:highlight w:val="none"/>
        </w:rPr>
        <w:t>一、设计概况及内容</w:t>
      </w:r>
      <w:r>
        <w:rPr>
          <w:rFonts w:hint="eastAsia" w:ascii="宋体" w:hAnsi="宋体" w:eastAsia="宋体" w:cs="宋体"/>
          <w:b/>
          <w:sz w:val="28"/>
          <w:szCs w:val="28"/>
          <w:highlight w:val="none"/>
        </w:rPr>
        <w:br w:type="textWrapping"/>
      </w:r>
      <w:r>
        <w:rPr>
          <w:rFonts w:hint="eastAsia" w:ascii="宋体" w:hAnsi="宋体" w:eastAsia="宋体" w:cs="宋体"/>
          <w:b/>
          <w:sz w:val="28"/>
          <w:szCs w:val="28"/>
          <w:highlight w:val="none"/>
        </w:rPr>
        <w:t>（一）设计概况</w:t>
      </w:r>
    </w:p>
    <w:p>
      <w:pPr>
        <w:rPr>
          <w:rFonts w:ascii="宋体" w:hAnsi="宋体" w:eastAsia="宋体" w:cs="宋体"/>
          <w:sz w:val="28"/>
          <w:szCs w:val="28"/>
          <w:highlight w:val="none"/>
        </w:rPr>
      </w:pPr>
      <w:r>
        <w:rPr>
          <w:rFonts w:hint="eastAsia" w:ascii="宋体" w:hAnsi="宋体" w:eastAsia="宋体" w:cs="宋体"/>
          <w:sz w:val="28"/>
          <w:szCs w:val="28"/>
          <w:highlight w:val="none"/>
        </w:rPr>
        <w:t xml:space="preserve">    本次设计任务主要在济宁医学院日照校区药学与生物实验楼现有土建、水电等条件基础上进行（面积约4500平方米）。区域为A、C区4楼、5楼和B区4楼，设计任务范围含方案设计、初步设计及概算、施工图设计（含建筑、暖通、给排水、电气、总图）、施工现场配合服务、咨询服务等。</w:t>
      </w:r>
    </w:p>
    <w:p>
      <w:pPr>
        <w:ind w:left="562" w:hanging="562" w:hanging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（二）主要内容</w:t>
      </w:r>
    </w:p>
    <w:p>
      <w:pPr>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设计任务包括实验室（药理毒理中心、生物医药检测中心）、实验室管理用房、业务办公用房、科研平台前厅、走道等室内所有区域装修及实验配套设施（给排水、通风空调、实验家具设备、强弱电等系统）整体功能设计工作。药理毒理中心实验室主要包括：分子生化实验室、PCR实验室、SPF动物房、行为轨迹实验室、活体成像实验室等。生物医药检测中心主要是光谱室、色谱室、热分析室和微区分析室等。其它实验室主要为大型仪器实验室、数据处理、消洗室、定量检测及准备等实验区。</w:t>
      </w:r>
    </w:p>
    <w:p>
      <w:pPr>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设计包含：平面布局设计、通排风系统设计、空调系统设计、装修及照明设计、电气与弱电系统设计、给排水系统设计、洁净系统设计、实验室家具、走廊设计、门禁及监控系统等。</w:t>
      </w:r>
    </w:p>
    <w:p>
      <w:pPr>
        <w:ind w:left="562" w:hanging="562" w:hanging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（三）采购范围</w:t>
      </w:r>
    </w:p>
    <w:p>
      <w:pPr>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完成济</w:t>
      </w:r>
      <w:bookmarkStart w:id="527" w:name="_Hlk7426537"/>
      <w:r>
        <w:rPr>
          <w:rFonts w:hint="eastAsia" w:ascii="宋体" w:hAnsi="宋体" w:eastAsia="宋体" w:cs="宋体"/>
          <w:sz w:val="28"/>
          <w:szCs w:val="28"/>
          <w:highlight w:val="none"/>
        </w:rPr>
        <w:t>宁医学院日照校区生物医药教学科研平台</w:t>
      </w:r>
      <w:bookmarkEnd w:id="527"/>
      <w:r>
        <w:rPr>
          <w:rFonts w:hint="eastAsia" w:ascii="宋体" w:hAnsi="宋体" w:eastAsia="宋体" w:cs="宋体"/>
          <w:sz w:val="28"/>
          <w:szCs w:val="28"/>
          <w:highlight w:val="none"/>
        </w:rPr>
        <w:t>建设项目实验室工艺所需的全部设计。主要包括：</w:t>
      </w:r>
    </w:p>
    <w:p>
      <w:pPr>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施工图设计包括但不限于平面功能分区布局、装修装饰设计、电气设计、给排水设计、空调系统设计、通风及废气处理设计、废水排放及处理设计、供气系统设计、纯水系统设计、洁净实验室设计、门禁及监控系统、实验室家具（边台、中央台、通风柜等）及其它相关的各项专业设计。（注：包含配合后续预算编制、施工招标文件编制等过程）。</w:t>
      </w:r>
    </w:p>
    <w:p>
      <w:pPr>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2、施工期间的设计支持服务，包括但不限于图纸交底、设计变更、设计修改、工程验收及验收资料、竣工图设计等技术支持工作。</w:t>
      </w:r>
    </w:p>
    <w:p>
      <w:pPr>
        <w:ind w:left="562" w:hanging="562" w:hanging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二、设计要求</w:t>
      </w:r>
    </w:p>
    <w:p>
      <w:pPr>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1、本项目的设计必须符合国家、行业有关标准和规范要求，满足不同专业检验检测活动及SPF动物房所必备的环境条件及配套实验家具、设施要求，定位中高档，以山东省内先进、近十年不落后为目标原则。</w:t>
      </w:r>
    </w:p>
    <w:p>
      <w:pPr>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采用现代设计理念，从科学流畅、实用美观、环保舒适、安全经济等角度出发，系统规划各功能区布局，优化布置设备、配备设施及实验室家具，并预留未来发展空间，实现前瞻性、可拓展性的需求，涉及各类材质、家具及设施以中高档为准并经济实用。</w:t>
      </w:r>
    </w:p>
    <w:p>
      <w:pPr>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3、绘制投标设计方案前需要实地踏勘，设计方案深度及内容参照但不限于《建筑工程设计文件编制深度规定》(2016版)规定中的方案设计要求。</w:t>
      </w:r>
    </w:p>
    <w:p>
      <w:pPr>
        <w:ind w:left="562" w:hanging="562" w:hanging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三、设计工期要求</w:t>
      </w:r>
    </w:p>
    <w:p>
      <w:pPr>
        <w:spacing w:line="560" w:lineRule="exact"/>
        <w:ind w:firstLine="548" w:firstLineChars="196"/>
        <w:rPr>
          <w:rFonts w:ascii="宋体" w:hAnsi="宋体" w:eastAsia="宋体" w:cs="宋体"/>
          <w:sz w:val="28"/>
          <w:szCs w:val="28"/>
          <w:highlight w:val="none"/>
        </w:rPr>
      </w:pPr>
      <w:r>
        <w:rPr>
          <w:rFonts w:hint="eastAsia" w:ascii="宋体" w:hAnsi="宋体" w:eastAsia="宋体" w:cs="宋体"/>
          <w:sz w:val="28"/>
          <w:szCs w:val="28"/>
          <w:highlight w:val="none"/>
        </w:rPr>
        <w:t>签订合同后</w:t>
      </w:r>
      <w:r>
        <w:rPr>
          <w:rFonts w:hint="eastAsia" w:ascii="宋体" w:hAnsi="宋体" w:eastAsia="宋体" w:cs="宋体"/>
          <w:sz w:val="28"/>
          <w:szCs w:val="28"/>
          <w:highlight w:val="none"/>
          <w:u w:val="single"/>
        </w:rPr>
        <w:t xml:space="preserve"> 10 </w:t>
      </w:r>
      <w:r>
        <w:rPr>
          <w:rFonts w:hint="eastAsia" w:ascii="宋体" w:hAnsi="宋体" w:eastAsia="宋体" w:cs="宋体"/>
          <w:sz w:val="28"/>
          <w:szCs w:val="28"/>
          <w:highlight w:val="none"/>
        </w:rPr>
        <w:t>日历天内完成设计方案，待设计方案经采购人认可后</w:t>
      </w:r>
      <w:r>
        <w:rPr>
          <w:rFonts w:hint="eastAsia" w:ascii="宋体" w:hAnsi="宋体" w:eastAsia="宋体" w:cs="宋体"/>
          <w:sz w:val="28"/>
          <w:szCs w:val="28"/>
          <w:highlight w:val="none"/>
          <w:u w:val="single"/>
        </w:rPr>
        <w:t xml:space="preserve"> 20 </w:t>
      </w:r>
      <w:r>
        <w:rPr>
          <w:rFonts w:hint="eastAsia" w:ascii="宋体" w:hAnsi="宋体" w:eastAsia="宋体" w:cs="宋体"/>
          <w:sz w:val="28"/>
          <w:szCs w:val="28"/>
          <w:highlight w:val="none"/>
        </w:rPr>
        <w:t>日历天内完成全部施工图纸设计（含概算及控制价）。</w:t>
      </w:r>
    </w:p>
    <w:p>
      <w:pPr>
        <w:ind w:left="562" w:hanging="562" w:hanging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四、质量要求</w:t>
      </w:r>
    </w:p>
    <w:p>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符合项目相关国家行业等标准规范要求，满足实验室各种专业实验室技术规范、标准实验环境条件要求，达到国家现行设计规范要求、项目总体设计要求及施工要求，符合消防标准，并通过学校审查部门的审查。</w:t>
      </w:r>
    </w:p>
    <w:p>
      <w:pPr>
        <w:ind w:left="562" w:hanging="562" w:hanging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五、设计报价</w:t>
      </w:r>
    </w:p>
    <w:p>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采用固定总价方式（含税），设计费包干，总价格不超过12万元。</w:t>
      </w:r>
    </w:p>
    <w:p>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1、价格包含但不限于项目现场踏勘、方案设计、初步设计及概算、施工图设计及施工阶段设计服务等内容。</w:t>
      </w:r>
    </w:p>
    <w:p>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2、设计单位应对设计成果的科学性、准确性、合理性和经济性负责。在设计及施工、竣工全过程中，采购人不再额外增加设计费。</w:t>
      </w:r>
    </w:p>
    <w:p>
      <w:pPr>
        <w:spacing w:line="560" w:lineRule="exact"/>
        <w:rPr>
          <w:rFonts w:ascii="宋体" w:hAnsi="宋体" w:eastAsia="宋体" w:cs="宋体"/>
          <w:b/>
          <w:sz w:val="28"/>
          <w:szCs w:val="28"/>
          <w:highlight w:val="none"/>
        </w:rPr>
      </w:pPr>
      <w:r>
        <w:rPr>
          <w:rFonts w:hint="eastAsia" w:ascii="宋体" w:hAnsi="宋体" w:eastAsia="宋体" w:cs="宋体"/>
          <w:b/>
          <w:sz w:val="28"/>
          <w:szCs w:val="28"/>
          <w:highlight w:val="none"/>
        </w:rPr>
        <w:t>六、其他要求</w:t>
      </w:r>
    </w:p>
    <w:p>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1、涉及易燃、易爆、有毒有害等相关实验室及区域应考虑设计自动监测报警装置、自动灭火系统，必要时还应有防爆装置。</w:t>
      </w:r>
    </w:p>
    <w:p>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2、根据各实验室标准环境、检验检测、检定基本条件要求的不同，设计应兼顾满足特殊要求（实验室洁净度、温湿度、耐火、噪声、震动、静电、照明、电磁干扰等）。</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3、在项目施工阶段，设计单位应协助解决涉及设计有关问题，包括修改完善设计或局部变更设计。</w:t>
      </w:r>
    </w:p>
    <w:p>
      <w:pPr>
        <w:spacing w:line="560" w:lineRule="exact"/>
        <w:ind w:firstLine="562" w:firstLineChars="200"/>
        <w:rPr>
          <w:rFonts w:ascii="宋体" w:hAnsi="宋体" w:eastAsia="宋体" w:cs="宋体"/>
          <w:b/>
          <w:sz w:val="28"/>
          <w:szCs w:val="28"/>
          <w:highlight w:val="none"/>
        </w:rPr>
      </w:pPr>
      <w:r>
        <w:rPr>
          <w:rFonts w:hint="eastAsia" w:ascii="宋体" w:hAnsi="宋体" w:eastAsia="宋体" w:cs="宋体"/>
          <w:b/>
          <w:sz w:val="28"/>
          <w:szCs w:val="28"/>
          <w:highlight w:val="none"/>
        </w:rPr>
        <w:t>4、中标单位设计成果必须满足招投标相关法律法规要求，设计成果不得含有任何倾向性的内容，如果在后期工程施工政府采购过程中，发现设计内容存在具有倾向性或不符合招投标相关法律法规情形的，招标人有权要求中标单位对设计成果作出修改调整，直至符合要求，修改调整设计成果产出的费用不予支付，给招标人带来的损失应予以赔偿。</w:t>
      </w:r>
    </w:p>
    <w:p>
      <w:pPr>
        <w:pStyle w:val="2"/>
        <w:ind w:firstLine="560"/>
        <w:rPr>
          <w:rFonts w:eastAsia="宋体"/>
          <w:kern w:val="2"/>
          <w:sz w:val="28"/>
          <w:szCs w:val="28"/>
          <w:highlight w:val="none"/>
        </w:rPr>
      </w:pPr>
    </w:p>
    <w:p>
      <w:pPr>
        <w:pStyle w:val="2"/>
        <w:ind w:firstLine="640"/>
        <w:rPr>
          <w:rFonts w:ascii="仿宋" w:hAnsi="仿宋" w:eastAsia="仿宋"/>
          <w:sz w:val="32"/>
          <w:szCs w:val="32"/>
          <w:highlight w:val="none"/>
        </w:rPr>
      </w:pPr>
    </w:p>
    <w:p>
      <w:pPr>
        <w:pStyle w:val="2"/>
        <w:rPr>
          <w:highlight w:val="none"/>
        </w:rPr>
      </w:pPr>
    </w:p>
    <w:p>
      <w:pPr>
        <w:pStyle w:val="3"/>
        <w:numPr>
          <w:ilvl w:val="0"/>
          <w:numId w:val="1"/>
        </w:numPr>
        <w:spacing w:after="120" w:line="360" w:lineRule="auto"/>
        <w:jc w:val="center"/>
        <w:rPr>
          <w:rFonts w:ascii="宋体" w:hAnsi="宋体"/>
          <w:highlight w:val="none"/>
        </w:rPr>
      </w:pPr>
      <w:r>
        <w:rPr>
          <w:rFonts w:hint="eastAsia"/>
          <w:highlight w:val="none"/>
        </w:rPr>
        <w:t xml:space="preserve"> </w:t>
      </w:r>
      <w:bookmarkEnd w:id="15"/>
      <w:bookmarkEnd w:id="16"/>
      <w:bookmarkEnd w:id="17"/>
      <w:bookmarkEnd w:id="18"/>
      <w:bookmarkEnd w:id="19"/>
      <w:bookmarkEnd w:id="20"/>
      <w:bookmarkEnd w:id="21"/>
      <w:bookmarkStart w:id="528" w:name="_Toc247085872"/>
      <w:bookmarkStart w:id="529" w:name="_Toc152045786"/>
      <w:bookmarkStart w:id="530" w:name="_Toc144974855"/>
      <w:bookmarkStart w:id="531" w:name="_Toc246997097"/>
      <w:bookmarkStart w:id="532" w:name="_Toc296602600"/>
      <w:bookmarkStart w:id="533" w:name="_Toc246996354"/>
      <w:bookmarkStart w:id="534" w:name="_Toc152042575"/>
      <w:bookmarkStart w:id="535" w:name="_Toc18220"/>
      <w:bookmarkStart w:id="536" w:name="_Toc179632806"/>
      <w:r>
        <w:rPr>
          <w:rFonts w:hint="eastAsia"/>
          <w:highlight w:val="none"/>
        </w:rPr>
        <w:t>响应文件格式</w:t>
      </w:r>
      <w:bookmarkEnd w:id="528"/>
      <w:bookmarkEnd w:id="529"/>
      <w:bookmarkEnd w:id="530"/>
      <w:bookmarkEnd w:id="531"/>
      <w:bookmarkEnd w:id="532"/>
      <w:bookmarkEnd w:id="533"/>
      <w:bookmarkEnd w:id="534"/>
      <w:bookmarkEnd w:id="535"/>
      <w:bookmarkEnd w:id="536"/>
    </w:p>
    <w:p>
      <w:pPr>
        <w:spacing w:line="400" w:lineRule="exact"/>
        <w:ind w:firstLine="420" w:firstLineChars="200"/>
        <w:rPr>
          <w:rFonts w:ascii="仿宋_GB2312" w:eastAsia="仿宋_GB2312"/>
          <w:szCs w:val="21"/>
          <w:highlight w:val="none"/>
        </w:rPr>
      </w:pPr>
    </w:p>
    <w:p>
      <w:pPr>
        <w:spacing w:line="440" w:lineRule="exact"/>
        <w:rPr>
          <w:rFonts w:eastAsia="黑体"/>
          <w:sz w:val="20"/>
          <w:highlight w:val="none"/>
        </w:rPr>
      </w:pPr>
    </w:p>
    <w:p>
      <w:pPr>
        <w:spacing w:line="440" w:lineRule="exact"/>
        <w:rPr>
          <w:rFonts w:eastAsia="黑体"/>
          <w:sz w:val="20"/>
          <w:highlight w:val="none"/>
        </w:rPr>
      </w:pPr>
    </w:p>
    <w:p>
      <w:pPr>
        <w:jc w:val="center"/>
        <w:rPr>
          <w:rFonts w:eastAsia="黑体"/>
          <w:sz w:val="52"/>
          <w:szCs w:val="52"/>
          <w:highlight w:val="none"/>
        </w:rPr>
      </w:pPr>
      <w:r>
        <w:rPr>
          <w:rFonts w:hint="eastAsia" w:eastAsia="黑体"/>
          <w:sz w:val="52"/>
          <w:szCs w:val="52"/>
          <w:highlight w:val="none"/>
          <w:u w:val="single"/>
        </w:rPr>
        <w:t xml:space="preserve">                </w:t>
      </w:r>
      <w:r>
        <w:rPr>
          <w:rFonts w:eastAsia="黑体"/>
          <w:sz w:val="52"/>
          <w:szCs w:val="52"/>
          <w:highlight w:val="none"/>
        </w:rPr>
        <w:t>（项目名称）</w:t>
      </w:r>
    </w:p>
    <w:p>
      <w:pPr>
        <w:jc w:val="center"/>
        <w:rPr>
          <w:rFonts w:eastAsia="黑体"/>
          <w:sz w:val="52"/>
          <w:szCs w:val="52"/>
          <w:highlight w:val="none"/>
        </w:rPr>
      </w:pPr>
    </w:p>
    <w:p>
      <w:pPr>
        <w:rPr>
          <w:rFonts w:eastAsia="黑体"/>
          <w:sz w:val="52"/>
          <w:szCs w:val="52"/>
          <w:highlight w:val="none"/>
        </w:rPr>
      </w:pPr>
    </w:p>
    <w:p>
      <w:pPr>
        <w:jc w:val="center"/>
        <w:rPr>
          <w:rFonts w:eastAsia="黑体"/>
          <w:sz w:val="52"/>
          <w:szCs w:val="52"/>
          <w:highlight w:val="none"/>
        </w:rPr>
      </w:pPr>
      <w:r>
        <w:rPr>
          <w:rFonts w:hint="eastAsia" w:eastAsia="黑体"/>
          <w:sz w:val="52"/>
          <w:szCs w:val="52"/>
          <w:highlight w:val="none"/>
        </w:rPr>
        <w:t>响  应</w:t>
      </w:r>
      <w:r>
        <w:rPr>
          <w:rFonts w:eastAsia="黑体"/>
          <w:sz w:val="52"/>
          <w:szCs w:val="52"/>
          <w:highlight w:val="none"/>
        </w:rPr>
        <w:t xml:space="preserve">  文  件</w:t>
      </w: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jc w:val="center"/>
        <w:rPr>
          <w:rFonts w:eastAsia="黑体"/>
          <w:sz w:val="28"/>
          <w:szCs w:val="28"/>
          <w:highlight w:val="none"/>
          <w:u w:val="single"/>
        </w:rPr>
      </w:pPr>
      <w:r>
        <w:rPr>
          <w:rFonts w:hint="eastAsia" w:eastAsia="黑体"/>
          <w:sz w:val="28"/>
          <w:szCs w:val="28"/>
          <w:highlight w:val="none"/>
        </w:rPr>
        <w:t>供应商</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（盖单位章）</w:t>
      </w:r>
    </w:p>
    <w:p>
      <w:pPr>
        <w:jc w:val="center"/>
        <w:rPr>
          <w:rFonts w:eastAsia="黑体"/>
          <w:sz w:val="28"/>
          <w:szCs w:val="28"/>
          <w:highlight w:val="none"/>
        </w:rPr>
      </w:pPr>
      <w:r>
        <w:rPr>
          <w:rFonts w:eastAsia="黑体"/>
          <w:sz w:val="28"/>
          <w:szCs w:val="28"/>
          <w:highlight w:val="none"/>
        </w:rPr>
        <w:t>法定代表人或其委托代理人：</w:t>
      </w:r>
      <w:r>
        <w:rPr>
          <w:rFonts w:eastAsia="黑体"/>
          <w:sz w:val="28"/>
          <w:szCs w:val="28"/>
          <w:highlight w:val="none"/>
          <w:u w:val="single"/>
        </w:rPr>
        <w:t xml:space="preserve">                </w:t>
      </w:r>
      <w:r>
        <w:rPr>
          <w:rFonts w:eastAsia="黑体"/>
          <w:sz w:val="28"/>
          <w:szCs w:val="28"/>
          <w:highlight w:val="none"/>
        </w:rPr>
        <w:t>（签字）</w:t>
      </w:r>
    </w:p>
    <w:p>
      <w:pPr>
        <w:jc w:val="center"/>
        <w:rPr>
          <w:rFonts w:eastAsia="黑体"/>
          <w:sz w:val="28"/>
          <w:szCs w:val="28"/>
          <w:highlight w:val="none"/>
        </w:rPr>
      </w:pPr>
      <w:r>
        <w:rPr>
          <w:rFonts w:eastAsia="黑体"/>
          <w:sz w:val="28"/>
          <w:szCs w:val="28"/>
          <w:highlight w:val="none"/>
          <w:u w:val="single"/>
        </w:rPr>
        <w:t xml:space="preserve">        </w:t>
      </w:r>
      <w:r>
        <w:rPr>
          <w:rFonts w:eastAsia="黑体"/>
          <w:sz w:val="28"/>
          <w:szCs w:val="28"/>
          <w:highlight w:val="none"/>
        </w:rPr>
        <w:t>年</w:t>
      </w:r>
      <w:r>
        <w:rPr>
          <w:rFonts w:eastAsia="黑体"/>
          <w:sz w:val="28"/>
          <w:szCs w:val="28"/>
          <w:highlight w:val="none"/>
          <w:u w:val="single"/>
        </w:rPr>
        <w:t xml:space="preserve">        </w:t>
      </w:r>
      <w:r>
        <w:rPr>
          <w:rFonts w:eastAsia="黑体"/>
          <w:sz w:val="28"/>
          <w:szCs w:val="28"/>
          <w:highlight w:val="none"/>
        </w:rPr>
        <w:t>月</w:t>
      </w:r>
      <w:r>
        <w:rPr>
          <w:rFonts w:eastAsia="黑体"/>
          <w:sz w:val="28"/>
          <w:szCs w:val="28"/>
          <w:highlight w:val="none"/>
          <w:u w:val="single"/>
        </w:rPr>
        <w:t xml:space="preserve">        </w:t>
      </w:r>
      <w:r>
        <w:rPr>
          <w:rFonts w:eastAsia="黑体"/>
          <w:sz w:val="28"/>
          <w:szCs w:val="28"/>
          <w:highlight w:val="none"/>
        </w:rPr>
        <w:t>日</w:t>
      </w:r>
      <w:bookmarkStart w:id="537" w:name="_Toc246996355"/>
      <w:bookmarkStart w:id="538" w:name="_Toc246997098"/>
      <w:bookmarkStart w:id="539" w:name="_Toc7723"/>
      <w:bookmarkStart w:id="540" w:name="_Toc152042576"/>
      <w:bookmarkStart w:id="541" w:name="_Toc22546"/>
      <w:bookmarkStart w:id="542" w:name="_Toc152045787"/>
      <w:bookmarkStart w:id="543" w:name="_Toc144974856"/>
      <w:bookmarkStart w:id="544" w:name="_Toc247085873"/>
      <w:bookmarkStart w:id="545" w:name="_Toc179632807"/>
      <w:bookmarkStart w:id="546" w:name="_Toc296602601"/>
      <w:bookmarkStart w:id="547" w:name="_Toc29834"/>
    </w:p>
    <w:p>
      <w:pPr>
        <w:pStyle w:val="2"/>
        <w:rPr>
          <w:rFonts w:eastAsia="黑体"/>
          <w:sz w:val="28"/>
          <w:szCs w:val="28"/>
          <w:highlight w:val="none"/>
        </w:rPr>
      </w:pPr>
    </w:p>
    <w:p>
      <w:pPr>
        <w:pStyle w:val="2"/>
        <w:rPr>
          <w:rFonts w:hint="eastAsia" w:eastAsia="黑体"/>
          <w:sz w:val="28"/>
          <w:szCs w:val="28"/>
          <w:highlight w:val="none"/>
        </w:rPr>
      </w:pPr>
    </w:p>
    <w:p>
      <w:pPr>
        <w:pStyle w:val="4"/>
        <w:spacing w:line="240" w:lineRule="auto"/>
        <w:jc w:val="center"/>
        <w:rPr>
          <w:highlight w:val="none"/>
        </w:rPr>
      </w:pPr>
      <w:r>
        <w:rPr>
          <w:rFonts w:hint="eastAsia"/>
          <w:highlight w:val="none"/>
        </w:rPr>
        <w:t>目    录</w:t>
      </w:r>
      <w:bookmarkEnd w:id="537"/>
      <w:bookmarkEnd w:id="538"/>
      <w:bookmarkEnd w:id="539"/>
      <w:bookmarkEnd w:id="540"/>
      <w:bookmarkEnd w:id="541"/>
      <w:bookmarkEnd w:id="542"/>
      <w:bookmarkEnd w:id="543"/>
      <w:bookmarkEnd w:id="544"/>
      <w:bookmarkEnd w:id="545"/>
      <w:bookmarkEnd w:id="546"/>
      <w:bookmarkEnd w:id="547"/>
    </w:p>
    <w:p>
      <w:pPr>
        <w:pStyle w:val="9"/>
        <w:snapToGrid w:val="0"/>
        <w:spacing w:after="0" w:line="360" w:lineRule="auto"/>
        <w:ind w:left="573"/>
        <w:rPr>
          <w:rFonts w:ascii="宋体" w:hAnsi="宋体"/>
          <w:sz w:val="24"/>
          <w:highlight w:val="none"/>
        </w:rPr>
      </w:pPr>
      <w:bookmarkStart w:id="548" w:name="_Toc144974857"/>
      <w:bookmarkStart w:id="549" w:name="_Toc152045788"/>
      <w:bookmarkStart w:id="550" w:name="_Toc179632808"/>
      <w:bookmarkStart w:id="551" w:name="_Toc247085874"/>
      <w:bookmarkStart w:id="552" w:name="_Toc246996356"/>
      <w:bookmarkStart w:id="553" w:name="_Toc296602602"/>
      <w:bookmarkStart w:id="554" w:name="_Toc152042577"/>
      <w:bookmarkStart w:id="555" w:name="_Toc246997099"/>
      <w:r>
        <w:rPr>
          <w:rFonts w:hint="eastAsia" w:ascii="宋体" w:hAnsi="宋体"/>
          <w:sz w:val="24"/>
          <w:highlight w:val="none"/>
        </w:rPr>
        <w:t>商务</w:t>
      </w:r>
      <w:r>
        <w:rPr>
          <w:rFonts w:hint="eastAsia" w:ascii="宋体" w:hAnsi="宋体"/>
          <w:bCs/>
          <w:sz w:val="24"/>
          <w:highlight w:val="none"/>
        </w:rPr>
        <w:t>文件部分</w:t>
      </w:r>
    </w:p>
    <w:p>
      <w:pPr>
        <w:pStyle w:val="9"/>
        <w:numPr>
          <w:ilvl w:val="0"/>
          <w:numId w:val="4"/>
        </w:numPr>
        <w:snapToGrid w:val="0"/>
        <w:spacing w:after="0" w:line="360" w:lineRule="auto"/>
        <w:ind w:firstLine="480" w:firstLineChars="200"/>
        <w:rPr>
          <w:rFonts w:ascii="宋体" w:hAnsi="宋体"/>
          <w:sz w:val="24"/>
          <w:highlight w:val="none"/>
        </w:rPr>
      </w:pPr>
      <w:r>
        <w:rPr>
          <w:rFonts w:hint="eastAsia" w:ascii="宋体" w:hAnsi="宋体"/>
          <w:sz w:val="24"/>
          <w:highlight w:val="none"/>
        </w:rPr>
        <w:t>报价一览表（见附件）；</w:t>
      </w:r>
    </w:p>
    <w:p>
      <w:pPr>
        <w:pStyle w:val="9"/>
        <w:numPr>
          <w:ilvl w:val="0"/>
          <w:numId w:val="4"/>
        </w:numPr>
        <w:snapToGrid w:val="0"/>
        <w:spacing w:after="0" w:line="360" w:lineRule="auto"/>
        <w:ind w:firstLine="480" w:firstLineChars="200"/>
        <w:rPr>
          <w:highlight w:val="none"/>
        </w:rPr>
      </w:pPr>
      <w:r>
        <w:rPr>
          <w:rFonts w:hint="eastAsia" w:ascii="宋体" w:hAnsi="宋体"/>
          <w:sz w:val="24"/>
          <w:highlight w:val="none"/>
        </w:rPr>
        <w:t>磋商报价明细表（见附件）；</w:t>
      </w:r>
    </w:p>
    <w:p>
      <w:pPr>
        <w:pStyle w:val="9"/>
        <w:numPr>
          <w:ilvl w:val="0"/>
          <w:numId w:val="4"/>
        </w:numPr>
        <w:snapToGrid w:val="0"/>
        <w:spacing w:after="0" w:line="360" w:lineRule="auto"/>
        <w:ind w:firstLine="480" w:firstLineChars="200"/>
        <w:rPr>
          <w:highlight w:val="none"/>
        </w:rPr>
      </w:pPr>
      <w:r>
        <w:rPr>
          <w:rFonts w:hint="eastAsia" w:ascii="宋体" w:hAnsi="宋体"/>
          <w:sz w:val="24"/>
          <w:highlight w:val="none"/>
        </w:rPr>
        <w:t>法定代表人或授权代理人签署的报价函（见附件）。</w:t>
      </w:r>
    </w:p>
    <w:p>
      <w:pPr>
        <w:pStyle w:val="9"/>
        <w:numPr>
          <w:ilvl w:val="0"/>
          <w:numId w:val="4"/>
        </w:numPr>
        <w:snapToGrid w:val="0"/>
        <w:spacing w:after="0" w:line="360" w:lineRule="auto"/>
        <w:ind w:firstLine="480" w:firstLineChars="200"/>
        <w:rPr>
          <w:rFonts w:ascii="宋体" w:hAnsi="宋体"/>
          <w:sz w:val="24"/>
          <w:highlight w:val="none"/>
        </w:rPr>
      </w:pPr>
      <w:r>
        <w:rPr>
          <w:rFonts w:hint="eastAsia" w:ascii="宋体" w:hAnsi="宋体"/>
          <w:sz w:val="24"/>
          <w:highlight w:val="none"/>
        </w:rPr>
        <w:t>项目管理机构（见附件）；</w:t>
      </w:r>
    </w:p>
    <w:p>
      <w:pPr>
        <w:pStyle w:val="9"/>
        <w:numPr>
          <w:ilvl w:val="0"/>
          <w:numId w:val="4"/>
        </w:numPr>
        <w:snapToGrid w:val="0"/>
        <w:spacing w:after="0" w:line="360" w:lineRule="auto"/>
        <w:ind w:firstLine="480" w:firstLineChars="200"/>
        <w:rPr>
          <w:rFonts w:ascii="宋体" w:hAnsi="宋体"/>
          <w:sz w:val="24"/>
          <w:highlight w:val="none"/>
        </w:rPr>
      </w:pPr>
      <w:r>
        <w:rPr>
          <w:rFonts w:hint="eastAsia" w:ascii="宋体" w:hAnsi="宋体"/>
          <w:sz w:val="24"/>
          <w:highlight w:val="none"/>
        </w:rPr>
        <w:t>近三年（2016年1月1日至今）完成同类业绩一览表（见附件）；</w:t>
      </w:r>
    </w:p>
    <w:p>
      <w:pPr>
        <w:pStyle w:val="9"/>
        <w:numPr>
          <w:ilvl w:val="0"/>
          <w:numId w:val="4"/>
        </w:numPr>
        <w:snapToGrid w:val="0"/>
        <w:spacing w:after="0" w:line="360" w:lineRule="auto"/>
        <w:ind w:firstLine="480" w:firstLineChars="200"/>
        <w:rPr>
          <w:rFonts w:ascii="宋体" w:hAnsi="宋体"/>
          <w:sz w:val="24"/>
          <w:highlight w:val="none"/>
        </w:rPr>
      </w:pPr>
      <w:r>
        <w:rPr>
          <w:rFonts w:hint="eastAsia" w:ascii="宋体" w:hAnsi="宋体"/>
          <w:sz w:val="24"/>
          <w:highlight w:val="none"/>
        </w:rPr>
        <w:t>优惠条款；</w:t>
      </w:r>
    </w:p>
    <w:p>
      <w:pPr>
        <w:pStyle w:val="9"/>
        <w:numPr>
          <w:ilvl w:val="0"/>
          <w:numId w:val="4"/>
        </w:numPr>
        <w:snapToGrid w:val="0"/>
        <w:spacing w:after="0" w:line="360" w:lineRule="auto"/>
        <w:ind w:firstLine="480" w:firstLineChars="200"/>
        <w:rPr>
          <w:rFonts w:ascii="宋体" w:hAnsi="宋体"/>
          <w:sz w:val="24"/>
          <w:highlight w:val="none"/>
        </w:rPr>
      </w:pPr>
      <w:r>
        <w:rPr>
          <w:rFonts w:hint="eastAsia" w:ascii="宋体" w:hAnsi="宋体"/>
          <w:sz w:val="24"/>
          <w:highlight w:val="none"/>
        </w:rPr>
        <w:t>供应商认为需要加以说明的其他内容。</w:t>
      </w:r>
    </w:p>
    <w:p>
      <w:pPr>
        <w:pStyle w:val="9"/>
        <w:snapToGrid w:val="0"/>
        <w:spacing w:after="0" w:line="360" w:lineRule="auto"/>
        <w:ind w:firstLine="588" w:firstLineChars="245"/>
        <w:rPr>
          <w:rFonts w:ascii="宋体" w:hAnsi="宋体"/>
          <w:sz w:val="24"/>
          <w:highlight w:val="none"/>
        </w:rPr>
      </w:pPr>
      <w:r>
        <w:rPr>
          <w:rFonts w:hint="eastAsia" w:ascii="宋体" w:hAnsi="宋体"/>
          <w:sz w:val="24"/>
          <w:highlight w:val="none"/>
        </w:rPr>
        <w:t>技术文件部分</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（1）设计工作的指导思想及设计质量目标；</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（2）设计项目组织机构及人员安排；</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（3）设计工作进度计划及保证措施；</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（4）设计质量保证体系及质量保证措施；</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（5）设计工作投资控制保证措施；</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（6）组织协调与技术保障方案；</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（7）从事同类工程设计的经验；</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（8）后续服务工作安排及承诺。</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（9）服务要求偏离表（见附件）；</w:t>
      </w:r>
    </w:p>
    <w:p>
      <w:pPr>
        <w:pStyle w:val="9"/>
        <w:snapToGrid w:val="0"/>
        <w:spacing w:after="0" w:line="360" w:lineRule="auto"/>
        <w:ind w:firstLine="470" w:firstLineChars="196"/>
        <w:rPr>
          <w:rFonts w:ascii="宋体" w:hAnsi="宋体"/>
          <w:sz w:val="24"/>
          <w:highlight w:val="none"/>
        </w:rPr>
      </w:pPr>
      <w:r>
        <w:rPr>
          <w:rFonts w:hint="eastAsia" w:ascii="宋体" w:hAnsi="宋体"/>
          <w:sz w:val="24"/>
          <w:highlight w:val="none"/>
        </w:rPr>
        <w:t>（10）供应商认为需要加以说明的其他内容。</w:t>
      </w:r>
    </w:p>
    <w:p>
      <w:pPr>
        <w:spacing w:line="540" w:lineRule="exact"/>
        <w:jc w:val="center"/>
        <w:rPr>
          <w:b/>
          <w:highlight w:val="none"/>
        </w:rPr>
      </w:pPr>
      <w:r>
        <w:rPr>
          <w:b/>
          <w:highlight w:val="none"/>
        </w:rPr>
        <w:br w:type="page"/>
      </w:r>
    </w:p>
    <w:p>
      <w:pPr>
        <w:pStyle w:val="9"/>
        <w:spacing w:after="0"/>
        <w:jc w:val="center"/>
        <w:outlineLvl w:val="0"/>
        <w:rPr>
          <w:rFonts w:ascii="Arial" w:hAnsi="Arial" w:eastAsia="黑体"/>
          <w:b/>
          <w:bCs/>
          <w:sz w:val="32"/>
          <w:szCs w:val="32"/>
          <w:highlight w:val="none"/>
        </w:rPr>
      </w:pPr>
      <w:bookmarkStart w:id="556" w:name="_Toc6759"/>
      <w:bookmarkStart w:id="557" w:name="_Toc7995"/>
      <w:r>
        <w:rPr>
          <w:rFonts w:hint="eastAsia" w:ascii="Arial" w:hAnsi="Arial" w:eastAsia="黑体"/>
          <w:b/>
          <w:bCs/>
          <w:sz w:val="32"/>
          <w:szCs w:val="32"/>
          <w:highlight w:val="none"/>
        </w:rPr>
        <w:t>一、报价函</w:t>
      </w:r>
      <w:bookmarkEnd w:id="548"/>
      <w:bookmarkEnd w:id="549"/>
      <w:bookmarkEnd w:id="550"/>
      <w:bookmarkEnd w:id="551"/>
      <w:bookmarkEnd w:id="552"/>
      <w:bookmarkEnd w:id="553"/>
      <w:bookmarkEnd w:id="554"/>
      <w:bookmarkEnd w:id="555"/>
      <w:bookmarkEnd w:id="556"/>
      <w:bookmarkEnd w:id="557"/>
    </w:p>
    <w:p>
      <w:pPr>
        <w:pStyle w:val="7"/>
        <w:spacing w:line="360" w:lineRule="auto"/>
        <w:jc w:val="center"/>
        <w:rPr>
          <w:rFonts w:ascii="宋体" w:hAnsi="宋体" w:eastAsia="宋体" w:cs="宋体"/>
          <w:b/>
          <w:highlight w:val="none"/>
        </w:rPr>
      </w:pPr>
      <w:bookmarkStart w:id="558" w:name="_Toc152045789"/>
      <w:bookmarkStart w:id="559" w:name="_Toc296602603"/>
      <w:bookmarkStart w:id="560" w:name="_Toc246996357"/>
      <w:bookmarkStart w:id="561" w:name="_Toc179632809"/>
      <w:bookmarkStart w:id="562" w:name="_Toc247085875"/>
      <w:bookmarkStart w:id="563" w:name="_Toc31019"/>
      <w:bookmarkStart w:id="564" w:name="_Toc246997100"/>
      <w:bookmarkStart w:id="565" w:name="_Toc8612"/>
      <w:bookmarkStart w:id="566" w:name="_Toc152042578"/>
      <w:bookmarkStart w:id="567" w:name="_Toc16802"/>
      <w:bookmarkStart w:id="568" w:name="_Toc144974858"/>
      <w:r>
        <w:rPr>
          <w:rFonts w:hint="eastAsia" w:ascii="宋体" w:hAnsi="宋体" w:eastAsia="宋体" w:cs="宋体"/>
          <w:b/>
          <w:highlight w:val="none"/>
        </w:rPr>
        <w:t>（一）</w:t>
      </w:r>
      <w:bookmarkEnd w:id="558"/>
      <w:bookmarkEnd w:id="559"/>
      <w:bookmarkEnd w:id="560"/>
      <w:bookmarkEnd w:id="561"/>
      <w:bookmarkEnd w:id="562"/>
      <w:bookmarkEnd w:id="563"/>
      <w:bookmarkEnd w:id="564"/>
      <w:bookmarkEnd w:id="565"/>
      <w:bookmarkEnd w:id="566"/>
      <w:bookmarkEnd w:id="567"/>
      <w:bookmarkEnd w:id="568"/>
      <w:r>
        <w:rPr>
          <w:rFonts w:hint="eastAsia" w:ascii="宋体" w:hAnsi="宋体" w:eastAsia="宋体" w:cs="宋体"/>
          <w:b/>
          <w:highlight w:val="none"/>
        </w:rPr>
        <w:t>报价函</w:t>
      </w:r>
    </w:p>
    <w:p>
      <w:pPr>
        <w:spacing w:line="360" w:lineRule="auto"/>
        <w:rPr>
          <w:rFonts w:ascii="宋体" w:hAnsi="宋体" w:eastAsia="宋体" w:cs="宋体"/>
          <w:sz w:val="24"/>
          <w:highlight w:val="none"/>
        </w:rPr>
      </w:pPr>
      <w:r>
        <w:rPr>
          <w:rFonts w:hint="eastAsia" w:ascii="宋体" w:hAnsi="宋体" w:eastAsia="宋体" w:cs="宋体"/>
          <w:sz w:val="24"/>
          <w:highlight w:val="none"/>
          <w:u w:val="single"/>
        </w:rPr>
        <w:t>济宁医学院</w:t>
      </w:r>
      <w:r>
        <w:rPr>
          <w:rFonts w:hint="eastAsia" w:ascii="宋体" w:hAnsi="宋体" w:eastAsia="宋体" w:cs="宋体"/>
          <w:sz w:val="24"/>
          <w:highlight w:val="none"/>
        </w:rPr>
        <w:t>：</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经研究，我们决定参加编号为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w:t>
      </w:r>
      <w:r>
        <w:rPr>
          <w:rFonts w:hint="eastAsia" w:ascii="宋体" w:hAnsi="宋体" w:eastAsia="宋体" w:cs="宋体"/>
          <w:sz w:val="24"/>
          <w:highlight w:val="none"/>
          <w:u w:val="single"/>
        </w:rPr>
        <w:t>济宁医学院日照校区生物医药教学科研平台房屋改造装修项目设计(二次)</w:t>
      </w:r>
      <w:r>
        <w:rPr>
          <w:rFonts w:hint="eastAsia" w:ascii="宋体" w:hAnsi="宋体" w:eastAsia="宋体" w:cs="宋体"/>
          <w:sz w:val="24"/>
          <w:highlight w:val="none"/>
        </w:rPr>
        <w:t>并提交响应文件。我方完全响应磋商文件的全部内容，我方兹以以下内容参加该项目：</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报价：大写：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我方郑重声明以下诸点，并负法律责任。</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1、我们提交的响应文件，正本一份，副本四份。正本具有法律效力。当副本与正本不一致时，以正本为准。</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2、我们对响应文件中所提供的各种服务标准、内容和所有证书、文件、经营业绩、合同、财务报表的真实性承担完全的责任。如有虚假，我们愿意承担一切后果。</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3、如果我们的响应文件被接受，我们将认真履行磋商文件中规定的每一项要求，并按我们在响应文件和评标中的承诺，按期、保质完成项目。</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4、我们承诺我公司在工商行政部门及监督部门登记的信息真实有效，如有虚假，我们愿意承担一切后果。</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5、我们愿按《中华人民共和国合同法》履行自己的全部责任。</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6、我们同意按要求缴纳保证金，遵守关于本项目的相关规定。</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7、我们的响应文件自提交之日起有效期为</w:t>
      </w:r>
      <w:r>
        <w:rPr>
          <w:rFonts w:hint="eastAsia" w:ascii="宋体" w:hAnsi="宋体" w:eastAsia="宋体" w:cs="宋体"/>
          <w:sz w:val="24"/>
          <w:highlight w:val="none"/>
          <w:u w:val="single"/>
        </w:rPr>
        <w:t>90</w:t>
      </w:r>
      <w:r>
        <w:rPr>
          <w:rFonts w:hint="eastAsia" w:ascii="宋体" w:hAnsi="宋体" w:eastAsia="宋体" w:cs="宋体"/>
          <w:sz w:val="24"/>
          <w:highlight w:val="none"/>
        </w:rPr>
        <w:t>天。</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8、我们若未能成为成交供应商，你们有不做解释的权利。</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供应商（盖章）：</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法人代表或委托代理人（签字或盖章）：</w:t>
      </w:r>
    </w:p>
    <w:p>
      <w:pPr>
        <w:spacing w:line="440" w:lineRule="exact"/>
        <w:jc w:val="right"/>
        <w:rPr>
          <w:rFonts w:eastAsia="黑体"/>
          <w:sz w:val="20"/>
          <w:highlight w:val="none"/>
        </w:rPr>
      </w:pPr>
      <w:r>
        <w:rPr>
          <w:rFonts w:hint="eastAsia" w:ascii="宋体" w:hAnsi="宋体" w:eastAsia="宋体" w:cs="宋体"/>
          <w:sz w:val="24"/>
          <w:highlight w:val="none"/>
        </w:rPr>
        <w:t xml:space="preserve">日期：   年   月   </w:t>
      </w:r>
      <w:r>
        <w:rPr>
          <w:rFonts w:eastAsia="黑体"/>
          <w:sz w:val="20"/>
          <w:highlight w:val="none"/>
        </w:rPr>
        <w:br w:type="page"/>
      </w:r>
    </w:p>
    <w:p>
      <w:pPr>
        <w:pStyle w:val="4"/>
        <w:jc w:val="center"/>
        <w:rPr>
          <w:highlight w:val="none"/>
        </w:rPr>
      </w:pPr>
      <w:bookmarkStart w:id="569" w:name="_Toc296602605"/>
      <w:bookmarkStart w:id="570" w:name="_Toc179632811"/>
      <w:bookmarkStart w:id="571" w:name="_Toc152042580"/>
      <w:bookmarkStart w:id="572" w:name="_Toc246996359"/>
      <w:bookmarkStart w:id="573" w:name="_Toc247085877"/>
      <w:bookmarkStart w:id="574" w:name="_Toc144974860"/>
      <w:bookmarkStart w:id="575" w:name="_Toc28746"/>
      <w:bookmarkStart w:id="576" w:name="_Toc152045791"/>
      <w:bookmarkStart w:id="577" w:name="_Toc27747"/>
      <w:bookmarkStart w:id="578" w:name="_Toc246997102"/>
      <w:bookmarkStart w:id="579" w:name="_Toc635"/>
      <w:r>
        <w:rPr>
          <w:highlight w:val="none"/>
        </w:rPr>
        <w:t>二、法定代表人身份证明</w:t>
      </w:r>
      <w:bookmarkEnd w:id="569"/>
      <w:bookmarkEnd w:id="570"/>
      <w:bookmarkEnd w:id="571"/>
      <w:bookmarkEnd w:id="572"/>
      <w:bookmarkEnd w:id="573"/>
      <w:bookmarkEnd w:id="574"/>
      <w:bookmarkEnd w:id="575"/>
      <w:bookmarkEnd w:id="576"/>
      <w:bookmarkEnd w:id="577"/>
      <w:bookmarkEnd w:id="578"/>
      <w:bookmarkEnd w:id="579"/>
    </w:p>
    <w:p>
      <w:pPr>
        <w:spacing w:line="440" w:lineRule="exact"/>
        <w:rPr>
          <w:sz w:val="20"/>
          <w:highlight w:val="none"/>
        </w:rPr>
      </w:pPr>
    </w:p>
    <w:p>
      <w:pPr>
        <w:spacing w:line="440" w:lineRule="exact"/>
        <w:rPr>
          <w:szCs w:val="21"/>
          <w:highlight w:val="none"/>
        </w:rPr>
      </w:pPr>
    </w:p>
    <w:p>
      <w:pPr>
        <w:spacing w:line="440" w:lineRule="exact"/>
        <w:rPr>
          <w:szCs w:val="21"/>
          <w:highlight w:val="none"/>
        </w:rPr>
      </w:pPr>
      <w:r>
        <w:rPr>
          <w:szCs w:val="21"/>
          <w:highlight w:val="none"/>
        </w:rPr>
        <w:t>名称：</w:t>
      </w:r>
      <w:r>
        <w:rPr>
          <w:szCs w:val="21"/>
          <w:highlight w:val="none"/>
          <w:u w:val="single"/>
        </w:rPr>
        <w:t xml:space="preserve">                            </w:t>
      </w:r>
      <w:r>
        <w:rPr>
          <w:szCs w:val="21"/>
          <w:highlight w:val="none"/>
        </w:rPr>
        <w:t xml:space="preserve"> </w:t>
      </w:r>
    </w:p>
    <w:p>
      <w:pPr>
        <w:spacing w:line="440" w:lineRule="exact"/>
        <w:rPr>
          <w:szCs w:val="21"/>
          <w:highlight w:val="none"/>
        </w:rPr>
      </w:pPr>
      <w:r>
        <w:rPr>
          <w:szCs w:val="21"/>
          <w:highlight w:val="none"/>
        </w:rPr>
        <w:t>单位性质：</w:t>
      </w:r>
      <w:r>
        <w:rPr>
          <w:szCs w:val="21"/>
          <w:highlight w:val="none"/>
          <w:u w:val="single"/>
        </w:rPr>
        <w:t xml:space="preserve">                               </w:t>
      </w:r>
      <w:r>
        <w:rPr>
          <w:szCs w:val="21"/>
          <w:highlight w:val="none"/>
        </w:rPr>
        <w:t xml:space="preserve"> </w:t>
      </w:r>
    </w:p>
    <w:p>
      <w:pPr>
        <w:spacing w:line="440" w:lineRule="exact"/>
        <w:rPr>
          <w:szCs w:val="21"/>
          <w:highlight w:val="none"/>
        </w:rPr>
      </w:pPr>
      <w:r>
        <w:rPr>
          <w:szCs w:val="21"/>
          <w:highlight w:val="none"/>
        </w:rPr>
        <w:t>地址：</w:t>
      </w:r>
      <w:r>
        <w:rPr>
          <w:szCs w:val="21"/>
          <w:highlight w:val="none"/>
          <w:u w:val="single"/>
        </w:rPr>
        <w:t xml:space="preserve">                                   </w:t>
      </w:r>
    </w:p>
    <w:p>
      <w:pPr>
        <w:spacing w:line="440" w:lineRule="exact"/>
        <w:rPr>
          <w:szCs w:val="21"/>
          <w:highlight w:val="none"/>
        </w:rPr>
      </w:pPr>
      <w:r>
        <w:rPr>
          <w:szCs w:val="21"/>
          <w:highlight w:val="none"/>
        </w:rPr>
        <w:t>成立时间：</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pPr>
        <w:spacing w:line="440" w:lineRule="exact"/>
        <w:rPr>
          <w:szCs w:val="21"/>
          <w:highlight w:val="none"/>
        </w:rPr>
      </w:pPr>
      <w:r>
        <w:rPr>
          <w:szCs w:val="21"/>
          <w:highlight w:val="none"/>
        </w:rPr>
        <w:t>经营期限：</w:t>
      </w:r>
      <w:r>
        <w:rPr>
          <w:szCs w:val="21"/>
          <w:highlight w:val="none"/>
          <w:u w:val="single"/>
        </w:rPr>
        <w:t xml:space="preserve">                               </w:t>
      </w:r>
    </w:p>
    <w:p>
      <w:pPr>
        <w:spacing w:line="440" w:lineRule="exact"/>
        <w:rPr>
          <w:szCs w:val="21"/>
          <w:highlight w:val="none"/>
        </w:rPr>
      </w:pPr>
      <w:r>
        <w:rPr>
          <w:szCs w:val="21"/>
          <w:highlight w:val="none"/>
        </w:rPr>
        <w:t>姓名：</w:t>
      </w:r>
      <w:r>
        <w:rPr>
          <w:szCs w:val="21"/>
          <w:highlight w:val="none"/>
          <w:u w:val="single"/>
        </w:rPr>
        <w:t xml:space="preserve">        </w:t>
      </w:r>
      <w:r>
        <w:rPr>
          <w:rFonts w:hint="eastAsia"/>
          <w:szCs w:val="21"/>
          <w:highlight w:val="none"/>
          <w:u w:val="single"/>
        </w:rPr>
        <w:t xml:space="preserve"> </w:t>
      </w:r>
      <w:r>
        <w:rPr>
          <w:szCs w:val="21"/>
          <w:highlight w:val="none"/>
        </w:rPr>
        <w:t xml:space="preserve"> 性别：</w:t>
      </w:r>
      <w:r>
        <w:rPr>
          <w:szCs w:val="21"/>
          <w:highlight w:val="none"/>
          <w:u w:val="single"/>
        </w:rPr>
        <w:t xml:space="preserve">         </w:t>
      </w:r>
      <w:r>
        <w:rPr>
          <w:szCs w:val="21"/>
          <w:highlight w:val="none"/>
        </w:rPr>
        <w:t>年龄：</w:t>
      </w:r>
      <w:r>
        <w:rPr>
          <w:szCs w:val="21"/>
          <w:highlight w:val="none"/>
          <w:u w:val="single"/>
        </w:rPr>
        <w:t xml:space="preserve">        </w:t>
      </w:r>
      <w:r>
        <w:rPr>
          <w:szCs w:val="21"/>
          <w:highlight w:val="none"/>
        </w:rPr>
        <w:t>职务：</w:t>
      </w:r>
      <w:r>
        <w:rPr>
          <w:szCs w:val="21"/>
          <w:highlight w:val="none"/>
          <w:u w:val="single"/>
        </w:rPr>
        <w:t xml:space="preserve">        </w:t>
      </w:r>
    </w:p>
    <w:p>
      <w:pPr>
        <w:spacing w:line="440" w:lineRule="exact"/>
        <w:rPr>
          <w:szCs w:val="21"/>
          <w:highlight w:val="none"/>
        </w:rPr>
      </w:pPr>
      <w:r>
        <w:rPr>
          <w:szCs w:val="21"/>
          <w:highlight w:val="none"/>
        </w:rPr>
        <w:t>系</w:t>
      </w:r>
      <w:r>
        <w:rPr>
          <w:szCs w:val="21"/>
          <w:highlight w:val="none"/>
          <w:u w:val="single"/>
        </w:rPr>
        <w:t xml:space="preserve">                             </w:t>
      </w:r>
      <w:r>
        <w:rPr>
          <w:szCs w:val="21"/>
          <w:highlight w:val="none"/>
        </w:rPr>
        <w:t xml:space="preserve"> </w:t>
      </w:r>
      <w:r>
        <w:rPr>
          <w:rFonts w:hint="eastAsia"/>
          <w:szCs w:val="21"/>
          <w:highlight w:val="none"/>
        </w:rPr>
        <w:t>（</w:t>
      </w:r>
      <w:r>
        <w:rPr>
          <w:szCs w:val="21"/>
          <w:highlight w:val="none"/>
        </w:rPr>
        <w:t>名称</w:t>
      </w:r>
      <w:r>
        <w:rPr>
          <w:rFonts w:hint="eastAsia"/>
          <w:szCs w:val="21"/>
          <w:highlight w:val="none"/>
        </w:rPr>
        <w:t>）</w:t>
      </w:r>
      <w:r>
        <w:rPr>
          <w:szCs w:val="21"/>
          <w:highlight w:val="none"/>
        </w:rPr>
        <w:t>的法定代表人。</w:t>
      </w:r>
    </w:p>
    <w:p>
      <w:pPr>
        <w:spacing w:line="440" w:lineRule="exact"/>
        <w:ind w:firstLine="420" w:firstLineChars="200"/>
        <w:rPr>
          <w:szCs w:val="21"/>
          <w:highlight w:val="none"/>
        </w:rPr>
      </w:pPr>
      <w:r>
        <w:rPr>
          <w:szCs w:val="21"/>
          <w:highlight w:val="none"/>
        </w:rPr>
        <w:t>特此证明。</w:t>
      </w:r>
    </w:p>
    <w:p>
      <w:pPr>
        <w:spacing w:line="440" w:lineRule="exact"/>
        <w:rPr>
          <w:szCs w:val="21"/>
          <w:highlight w:val="none"/>
        </w:rPr>
      </w:pPr>
    </w:p>
    <w:p>
      <w:pPr>
        <w:spacing w:line="440" w:lineRule="exact"/>
        <w:rPr>
          <w:szCs w:val="21"/>
          <w:highlight w:val="none"/>
        </w:rPr>
      </w:pPr>
    </w:p>
    <w:p>
      <w:pPr>
        <w:wordWrap w:val="0"/>
        <w:spacing w:line="440" w:lineRule="exact"/>
        <w:jc w:val="right"/>
        <w:rPr>
          <w:szCs w:val="21"/>
          <w:highlight w:val="none"/>
        </w:rPr>
      </w:pPr>
      <w:r>
        <w:rPr>
          <w:szCs w:val="21"/>
          <w:highlight w:val="none"/>
        </w:rPr>
        <w:t xml:space="preserve">                          </w:t>
      </w:r>
      <w:r>
        <w:rPr>
          <w:rFonts w:hint="eastAsia"/>
          <w:szCs w:val="21"/>
          <w:highlight w:val="none"/>
        </w:rPr>
        <w:t>供应商</w:t>
      </w:r>
      <w:r>
        <w:rPr>
          <w:szCs w:val="21"/>
          <w:highlight w:val="none"/>
        </w:rPr>
        <w:t>：</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（盖单位章）</w:t>
      </w:r>
    </w:p>
    <w:p>
      <w:pPr>
        <w:spacing w:line="440" w:lineRule="exact"/>
        <w:jc w:val="center"/>
        <w:rPr>
          <w:szCs w:val="21"/>
          <w:highlight w:val="none"/>
        </w:rPr>
      </w:pPr>
      <w:r>
        <w:rPr>
          <w:rFonts w:hint="eastAsia"/>
          <w:szCs w:val="21"/>
          <w:highlight w:val="none"/>
        </w:rPr>
        <w:t xml:space="preserve">                                 </w:t>
      </w:r>
      <w:r>
        <w:rPr>
          <w:rFonts w:hint="eastAsia"/>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pPr>
        <w:spacing w:line="440" w:lineRule="exact"/>
        <w:rPr>
          <w:rFonts w:eastAsia="黑体"/>
          <w:sz w:val="20"/>
          <w:highlight w:val="none"/>
        </w:rPr>
      </w:pPr>
    </w:p>
    <w:p>
      <w:pPr>
        <w:spacing w:line="440" w:lineRule="exact"/>
        <w:rPr>
          <w:rFonts w:eastAsia="黑体"/>
          <w:sz w:val="20"/>
          <w:highlight w:val="none"/>
        </w:rPr>
      </w:pPr>
    </w:p>
    <w:p>
      <w:pPr>
        <w:spacing w:line="440" w:lineRule="exact"/>
        <w:rPr>
          <w:rFonts w:eastAsia="黑体"/>
          <w:sz w:val="20"/>
          <w:highlight w:val="none"/>
        </w:rPr>
      </w:pPr>
    </w:p>
    <w:p>
      <w:pPr>
        <w:spacing w:line="440" w:lineRule="exact"/>
        <w:rPr>
          <w:rFonts w:eastAsia="黑体"/>
          <w:sz w:val="20"/>
          <w:highlight w:val="none"/>
        </w:rPr>
      </w:pPr>
    </w:p>
    <w:p>
      <w:pPr>
        <w:spacing w:line="440" w:lineRule="exact"/>
        <w:rPr>
          <w:rFonts w:eastAsia="黑体"/>
          <w:sz w:val="20"/>
          <w:highlight w:val="none"/>
        </w:rPr>
      </w:pPr>
    </w:p>
    <w:p>
      <w:pPr>
        <w:spacing w:line="440" w:lineRule="exact"/>
        <w:rPr>
          <w:rFonts w:eastAsia="黑体"/>
          <w:sz w:val="20"/>
          <w:highlight w:val="none"/>
        </w:rPr>
      </w:pPr>
    </w:p>
    <w:p>
      <w:pPr>
        <w:spacing w:line="440" w:lineRule="exact"/>
        <w:rPr>
          <w:rFonts w:eastAsia="黑体"/>
          <w:sz w:val="20"/>
          <w:highlight w:val="none"/>
        </w:rPr>
      </w:pPr>
    </w:p>
    <w:p>
      <w:pPr>
        <w:spacing w:line="440" w:lineRule="exact"/>
        <w:rPr>
          <w:rFonts w:eastAsia="黑体"/>
          <w:sz w:val="20"/>
          <w:highlight w:val="none"/>
        </w:rPr>
      </w:pPr>
    </w:p>
    <w:p>
      <w:pPr>
        <w:spacing w:line="440" w:lineRule="exact"/>
        <w:rPr>
          <w:rFonts w:eastAsia="黑体"/>
          <w:sz w:val="20"/>
          <w:highlight w:val="none"/>
        </w:rPr>
      </w:pPr>
    </w:p>
    <w:p>
      <w:pPr>
        <w:spacing w:line="440" w:lineRule="exact"/>
        <w:rPr>
          <w:rFonts w:eastAsia="黑体"/>
          <w:sz w:val="20"/>
          <w:highlight w:val="none"/>
        </w:rPr>
      </w:pPr>
    </w:p>
    <w:p>
      <w:pPr>
        <w:spacing w:line="440" w:lineRule="exact"/>
        <w:rPr>
          <w:rFonts w:eastAsia="黑体"/>
          <w:sz w:val="20"/>
          <w:highlight w:val="none"/>
        </w:rPr>
      </w:pPr>
    </w:p>
    <w:p>
      <w:pPr>
        <w:spacing w:line="440" w:lineRule="exact"/>
        <w:rPr>
          <w:rFonts w:eastAsia="黑体"/>
          <w:sz w:val="20"/>
          <w:highlight w:val="none"/>
        </w:rPr>
      </w:pPr>
    </w:p>
    <w:p>
      <w:pPr>
        <w:spacing w:line="440" w:lineRule="exact"/>
        <w:rPr>
          <w:rFonts w:eastAsia="黑体"/>
          <w:sz w:val="20"/>
          <w:highlight w:val="none"/>
        </w:rPr>
      </w:pPr>
    </w:p>
    <w:p>
      <w:pPr>
        <w:pStyle w:val="4"/>
        <w:jc w:val="center"/>
        <w:rPr>
          <w:highlight w:val="none"/>
        </w:rPr>
      </w:pPr>
      <w:bookmarkStart w:id="580" w:name="_Toc144974861"/>
      <w:bookmarkStart w:id="581" w:name="_Toc1634"/>
      <w:bookmarkStart w:id="582" w:name="_Toc22705"/>
      <w:bookmarkStart w:id="583" w:name="_Toc296602606"/>
      <w:bookmarkStart w:id="584" w:name="_Toc246997103"/>
      <w:bookmarkStart w:id="585" w:name="_Toc152042581"/>
      <w:bookmarkStart w:id="586" w:name="_Toc247085878"/>
      <w:bookmarkStart w:id="587" w:name="_Toc246996360"/>
      <w:bookmarkStart w:id="588" w:name="_Toc23787"/>
      <w:bookmarkStart w:id="589" w:name="_Toc152045792"/>
      <w:bookmarkStart w:id="590" w:name="_Toc179632812"/>
      <w:r>
        <w:rPr>
          <w:highlight w:val="none"/>
        </w:rPr>
        <w:t>授权委托书</w:t>
      </w:r>
      <w:bookmarkEnd w:id="580"/>
      <w:bookmarkEnd w:id="581"/>
      <w:bookmarkEnd w:id="582"/>
      <w:bookmarkEnd w:id="583"/>
      <w:bookmarkEnd w:id="584"/>
      <w:bookmarkEnd w:id="585"/>
      <w:bookmarkEnd w:id="586"/>
      <w:bookmarkEnd w:id="587"/>
      <w:bookmarkEnd w:id="588"/>
      <w:bookmarkEnd w:id="589"/>
      <w:bookmarkEnd w:id="590"/>
    </w:p>
    <w:p>
      <w:pPr>
        <w:spacing w:line="440" w:lineRule="exact"/>
        <w:rPr>
          <w:rFonts w:eastAsia="黑体"/>
          <w:szCs w:val="21"/>
          <w:highlight w:val="none"/>
        </w:rPr>
      </w:pPr>
    </w:p>
    <w:p>
      <w:pPr>
        <w:topLinePunct/>
        <w:spacing w:line="440" w:lineRule="exact"/>
        <w:ind w:firstLine="480" w:firstLineChars="200"/>
        <w:rPr>
          <w:sz w:val="24"/>
          <w:highlight w:val="none"/>
        </w:rPr>
      </w:pPr>
      <w:r>
        <w:rPr>
          <w:sz w:val="24"/>
          <w:highlight w:val="none"/>
        </w:rPr>
        <w:t>本人</w:t>
      </w:r>
      <w:r>
        <w:rPr>
          <w:sz w:val="24"/>
          <w:highlight w:val="none"/>
          <w:u w:val="single"/>
        </w:rPr>
        <w:t xml:space="preserve">       </w:t>
      </w:r>
      <w:r>
        <w:rPr>
          <w:sz w:val="24"/>
          <w:highlight w:val="none"/>
        </w:rPr>
        <w:t>（姓名）系</w:t>
      </w:r>
      <w:r>
        <w:rPr>
          <w:sz w:val="24"/>
          <w:highlight w:val="none"/>
          <w:u w:val="single"/>
        </w:rPr>
        <w:t xml:space="preserve">        </w:t>
      </w:r>
      <w:r>
        <w:rPr>
          <w:sz w:val="24"/>
          <w:highlight w:val="none"/>
        </w:rPr>
        <w:t>（名称）的法定代表人，现委托</w:t>
      </w:r>
      <w:r>
        <w:rPr>
          <w:sz w:val="24"/>
          <w:highlight w:val="none"/>
          <w:u w:val="single"/>
        </w:rPr>
        <w:t xml:space="preserve">        </w:t>
      </w:r>
      <w:r>
        <w:rPr>
          <w:sz w:val="24"/>
          <w:highlight w:val="none"/>
        </w:rPr>
        <w:t>（姓名）为我方代理人。代理人根据授权，以我方名义签署、澄清</w:t>
      </w:r>
      <w:r>
        <w:rPr>
          <w:rFonts w:hint="eastAsia"/>
          <w:sz w:val="24"/>
          <w:highlight w:val="none"/>
        </w:rPr>
        <w:t>、说明、补正</w:t>
      </w:r>
      <w:r>
        <w:rPr>
          <w:sz w:val="24"/>
          <w:highlight w:val="none"/>
        </w:rPr>
        <w:t>、递交、撤回、修改</w:t>
      </w:r>
      <w:r>
        <w:rPr>
          <w:sz w:val="24"/>
          <w:highlight w:val="none"/>
          <w:u w:val="single"/>
        </w:rPr>
        <w:t xml:space="preserve">           </w:t>
      </w:r>
      <w:r>
        <w:rPr>
          <w:sz w:val="24"/>
          <w:highlight w:val="none"/>
        </w:rPr>
        <w:t>（项目名称）</w:t>
      </w:r>
      <w:r>
        <w:rPr>
          <w:rFonts w:hint="eastAsia"/>
          <w:sz w:val="24"/>
          <w:highlight w:val="none"/>
        </w:rPr>
        <w:t>响应文件</w:t>
      </w:r>
      <w:r>
        <w:rPr>
          <w:sz w:val="24"/>
          <w:highlight w:val="none"/>
        </w:rPr>
        <w:t>、签订合同和处理有关事宜，其法律后果由我方承担。</w:t>
      </w:r>
    </w:p>
    <w:p>
      <w:pPr>
        <w:spacing w:line="440" w:lineRule="exact"/>
        <w:rPr>
          <w:sz w:val="24"/>
          <w:highlight w:val="none"/>
        </w:rPr>
      </w:pPr>
      <w:r>
        <w:rPr>
          <w:sz w:val="24"/>
          <w:highlight w:val="none"/>
        </w:rPr>
        <w:t xml:space="preserve">    委托期限：</w:t>
      </w:r>
      <w:r>
        <w:rPr>
          <w:sz w:val="24"/>
          <w:highlight w:val="none"/>
          <w:u w:val="single"/>
        </w:rPr>
        <w:t xml:space="preserve">             </w:t>
      </w:r>
      <w:r>
        <w:rPr>
          <w:rFonts w:hint="eastAsia"/>
          <w:sz w:val="24"/>
          <w:highlight w:val="none"/>
        </w:rPr>
        <w:t>。</w:t>
      </w:r>
    </w:p>
    <w:p>
      <w:pPr>
        <w:spacing w:line="440" w:lineRule="exact"/>
        <w:ind w:firstLine="480" w:firstLineChars="200"/>
        <w:rPr>
          <w:sz w:val="24"/>
          <w:highlight w:val="none"/>
        </w:rPr>
      </w:pPr>
      <w:r>
        <w:rPr>
          <w:sz w:val="24"/>
          <w:highlight w:val="none"/>
        </w:rPr>
        <w:t>代理人无转委托权。</w:t>
      </w:r>
    </w:p>
    <w:p>
      <w:pPr>
        <w:spacing w:line="440" w:lineRule="exact"/>
        <w:ind w:firstLine="480" w:firstLineChars="200"/>
        <w:rPr>
          <w:sz w:val="24"/>
          <w:highlight w:val="none"/>
        </w:rPr>
      </w:pPr>
      <w:r>
        <w:rPr>
          <w:rFonts w:hint="eastAsia"/>
          <w:sz w:val="24"/>
          <w:highlight w:val="none"/>
        </w:rPr>
        <w:t>附：法定代表人身份证明、授权代表身份证复印件；</w:t>
      </w:r>
    </w:p>
    <w:p>
      <w:pPr>
        <w:spacing w:line="440" w:lineRule="exact"/>
        <w:rPr>
          <w:sz w:val="24"/>
          <w:highlight w:val="none"/>
        </w:rPr>
      </w:pPr>
    </w:p>
    <w:p>
      <w:pPr>
        <w:spacing w:line="440" w:lineRule="exact"/>
        <w:jc w:val="right"/>
        <w:rPr>
          <w:sz w:val="24"/>
          <w:highlight w:val="none"/>
        </w:rPr>
      </w:pPr>
    </w:p>
    <w:p>
      <w:pPr>
        <w:spacing w:line="440" w:lineRule="exact"/>
        <w:jc w:val="center"/>
        <w:rPr>
          <w:sz w:val="24"/>
          <w:highlight w:val="none"/>
        </w:rPr>
      </w:pPr>
      <w:r>
        <w:rPr>
          <w:rFonts w:hint="eastAsia"/>
          <w:sz w:val="24"/>
          <w:highlight w:val="none"/>
        </w:rPr>
        <w:t xml:space="preserve">                                 供  应  商：</w:t>
      </w:r>
      <w:r>
        <w:rPr>
          <w:sz w:val="24"/>
          <w:highlight w:val="none"/>
          <w:u w:val="single"/>
        </w:rPr>
        <w:t xml:space="preserve">                          </w:t>
      </w:r>
      <w:r>
        <w:rPr>
          <w:sz w:val="24"/>
          <w:highlight w:val="none"/>
        </w:rPr>
        <w:t>（盖单位章）</w:t>
      </w:r>
    </w:p>
    <w:p>
      <w:pPr>
        <w:spacing w:line="440" w:lineRule="exact"/>
        <w:jc w:val="right"/>
        <w:rPr>
          <w:sz w:val="24"/>
          <w:highlight w:val="none"/>
        </w:rPr>
      </w:pPr>
    </w:p>
    <w:p>
      <w:pPr>
        <w:spacing w:line="440" w:lineRule="exact"/>
        <w:jc w:val="right"/>
        <w:rPr>
          <w:sz w:val="24"/>
          <w:highlight w:val="none"/>
        </w:rPr>
      </w:pPr>
      <w:r>
        <w:rPr>
          <w:rFonts w:hint="eastAsia"/>
          <w:sz w:val="24"/>
          <w:highlight w:val="none"/>
        </w:rPr>
        <w:t xml:space="preserve">      </w:t>
      </w:r>
      <w:r>
        <w:rPr>
          <w:sz w:val="24"/>
          <w:highlight w:val="none"/>
        </w:rPr>
        <w:t>法定代表人：</w:t>
      </w:r>
      <w:r>
        <w:rPr>
          <w:sz w:val="24"/>
          <w:highlight w:val="none"/>
          <w:u w:val="single"/>
        </w:rPr>
        <w:t xml:space="preserve">                      </w:t>
      </w:r>
      <w:r>
        <w:rPr>
          <w:sz w:val="24"/>
          <w:highlight w:val="none"/>
        </w:rPr>
        <w:t>（签字</w:t>
      </w:r>
      <w:r>
        <w:rPr>
          <w:rFonts w:hint="eastAsia"/>
          <w:sz w:val="24"/>
          <w:highlight w:val="none"/>
        </w:rPr>
        <w:t>并盖章</w:t>
      </w:r>
      <w:r>
        <w:rPr>
          <w:sz w:val="24"/>
          <w:highlight w:val="none"/>
        </w:rPr>
        <w:t>）</w:t>
      </w:r>
    </w:p>
    <w:p>
      <w:pPr>
        <w:spacing w:line="440" w:lineRule="exact"/>
        <w:jc w:val="right"/>
        <w:rPr>
          <w:sz w:val="24"/>
          <w:highlight w:val="none"/>
        </w:rPr>
      </w:pPr>
    </w:p>
    <w:p>
      <w:pPr>
        <w:spacing w:line="440" w:lineRule="exact"/>
        <w:rPr>
          <w:sz w:val="24"/>
          <w:highlight w:val="none"/>
        </w:rPr>
      </w:pPr>
      <w:r>
        <w:rPr>
          <w:rFonts w:hint="eastAsia"/>
          <w:sz w:val="24"/>
          <w:highlight w:val="none"/>
        </w:rPr>
        <w:t xml:space="preserve">                                 </w:t>
      </w:r>
      <w:r>
        <w:rPr>
          <w:sz w:val="24"/>
          <w:highlight w:val="none"/>
        </w:rPr>
        <w:t>身份证号码：</w:t>
      </w:r>
      <w:r>
        <w:rPr>
          <w:sz w:val="24"/>
          <w:highlight w:val="none"/>
          <w:u w:val="single"/>
        </w:rPr>
        <w:t xml:space="preserve">                                   </w:t>
      </w:r>
    </w:p>
    <w:p>
      <w:pPr>
        <w:spacing w:line="440" w:lineRule="exact"/>
        <w:jc w:val="right"/>
        <w:rPr>
          <w:sz w:val="24"/>
          <w:highlight w:val="none"/>
        </w:rPr>
      </w:pPr>
    </w:p>
    <w:p>
      <w:pPr>
        <w:spacing w:line="440" w:lineRule="exact"/>
        <w:jc w:val="center"/>
        <w:rPr>
          <w:sz w:val="24"/>
          <w:highlight w:val="none"/>
        </w:rPr>
      </w:pPr>
      <w:r>
        <w:rPr>
          <w:rFonts w:hint="eastAsia"/>
          <w:sz w:val="24"/>
          <w:highlight w:val="none"/>
        </w:rPr>
        <w:t xml:space="preserve">                                </w:t>
      </w:r>
      <w:r>
        <w:rPr>
          <w:sz w:val="24"/>
          <w:highlight w:val="none"/>
        </w:rPr>
        <w:t>委托代理人：</w:t>
      </w:r>
      <w:r>
        <w:rPr>
          <w:sz w:val="24"/>
          <w:highlight w:val="none"/>
          <w:u w:val="single"/>
        </w:rPr>
        <w:t xml:space="preserve">                            </w:t>
      </w:r>
      <w:r>
        <w:rPr>
          <w:sz w:val="24"/>
          <w:highlight w:val="none"/>
        </w:rPr>
        <w:t xml:space="preserve">（签字） </w:t>
      </w:r>
    </w:p>
    <w:p>
      <w:pPr>
        <w:spacing w:line="440" w:lineRule="exact"/>
        <w:jc w:val="right"/>
        <w:rPr>
          <w:sz w:val="24"/>
          <w:highlight w:val="none"/>
        </w:rPr>
      </w:pPr>
    </w:p>
    <w:p>
      <w:pPr>
        <w:spacing w:line="440" w:lineRule="exact"/>
        <w:rPr>
          <w:sz w:val="24"/>
          <w:highlight w:val="none"/>
        </w:rPr>
      </w:pPr>
      <w:r>
        <w:rPr>
          <w:rFonts w:hint="eastAsia"/>
          <w:sz w:val="24"/>
          <w:highlight w:val="none"/>
        </w:rPr>
        <w:t xml:space="preserve">                                 </w:t>
      </w:r>
      <w:r>
        <w:rPr>
          <w:sz w:val="24"/>
          <w:highlight w:val="none"/>
        </w:rPr>
        <w:t>身份证号码：</w:t>
      </w:r>
      <w:r>
        <w:rPr>
          <w:sz w:val="24"/>
          <w:highlight w:val="none"/>
          <w:u w:val="single"/>
        </w:rPr>
        <w:t xml:space="preserve">                                  </w:t>
      </w:r>
    </w:p>
    <w:p>
      <w:pPr>
        <w:spacing w:line="440" w:lineRule="exact"/>
        <w:jc w:val="right"/>
        <w:rPr>
          <w:sz w:val="24"/>
          <w:highlight w:val="none"/>
        </w:rPr>
      </w:pPr>
    </w:p>
    <w:p>
      <w:pPr>
        <w:spacing w:line="440" w:lineRule="exact"/>
        <w:jc w:val="right"/>
        <w:rPr>
          <w:sz w:val="24"/>
          <w:highlight w:val="none"/>
        </w:rPr>
      </w:pPr>
    </w:p>
    <w:p>
      <w:pPr>
        <w:spacing w:line="440" w:lineRule="exact"/>
        <w:ind w:firstLine="2640" w:firstLineChars="1100"/>
        <w:jc w:val="right"/>
        <w:rPr>
          <w:rFonts w:eastAsia="黑体"/>
          <w:sz w:val="2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pPr>
        <w:pStyle w:val="4"/>
        <w:numPr>
          <w:ilvl w:val="0"/>
          <w:numId w:val="5"/>
        </w:numPr>
        <w:spacing w:before="120" w:after="120" w:line="520" w:lineRule="exact"/>
        <w:jc w:val="center"/>
        <w:rPr>
          <w:highlight w:val="none"/>
        </w:rPr>
      </w:pPr>
      <w:r>
        <w:rPr>
          <w:sz w:val="20"/>
          <w:szCs w:val="20"/>
          <w:highlight w:val="none"/>
        </w:rPr>
        <w:br w:type="page"/>
      </w:r>
      <w:bookmarkStart w:id="591" w:name="_Toc246996369"/>
      <w:bookmarkStart w:id="592" w:name="_Toc152045803"/>
      <w:bookmarkStart w:id="593" w:name="_Toc179632823"/>
      <w:bookmarkStart w:id="594" w:name="_Toc152042592"/>
      <w:bookmarkStart w:id="595" w:name="_Toc246997112"/>
      <w:bookmarkStart w:id="596" w:name="_Toc15948"/>
      <w:bookmarkStart w:id="597" w:name="_Toc13908"/>
      <w:bookmarkStart w:id="598" w:name="_Toc247085887"/>
      <w:bookmarkStart w:id="599" w:name="_Toc296602614"/>
      <w:bookmarkStart w:id="600" w:name="_Toc15866"/>
      <w:bookmarkStart w:id="601" w:name="_Toc6395"/>
      <w:bookmarkStart w:id="602" w:name="_Toc144974871"/>
      <w:bookmarkStart w:id="603" w:name="_Toc14046"/>
      <w:bookmarkStart w:id="604" w:name="_Toc11030"/>
      <w:r>
        <w:rPr>
          <w:rFonts w:hint="eastAsia"/>
          <w:highlight w:val="none"/>
        </w:rPr>
        <w:t>报价一览表</w:t>
      </w:r>
    </w:p>
    <w:p>
      <w:pPr>
        <w:pStyle w:val="9"/>
        <w:spacing w:after="0" w:line="480" w:lineRule="exact"/>
        <w:jc w:val="center"/>
        <w:rPr>
          <w:rFonts w:ascii="宋体" w:hAnsi="宋体"/>
          <w:b/>
          <w:sz w:val="28"/>
          <w:szCs w:val="28"/>
          <w:highlight w:val="none"/>
        </w:rPr>
      </w:pPr>
      <w:r>
        <w:rPr>
          <w:rFonts w:hint="eastAsia" w:ascii="宋体" w:hAnsi="宋体"/>
          <w:b/>
          <w:sz w:val="28"/>
          <w:szCs w:val="28"/>
          <w:highlight w:val="none"/>
        </w:rPr>
        <w:t>（须单独密封，用于公开报价）</w:t>
      </w:r>
    </w:p>
    <w:tbl>
      <w:tblPr>
        <w:tblStyle w:val="19"/>
        <w:tblW w:w="93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9"/>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9320" w:type="dxa"/>
            <w:gridSpan w:val="2"/>
            <w:vAlign w:val="center"/>
          </w:tcPr>
          <w:p>
            <w:pPr>
              <w:pStyle w:val="7"/>
              <w:spacing w:line="500" w:lineRule="exact"/>
              <w:ind w:firstLine="120" w:firstLineChars="50"/>
              <w:rPr>
                <w:rFonts w:ascii="宋体" w:hAnsi="宋体"/>
                <w:highlight w:val="none"/>
              </w:rPr>
            </w:pPr>
            <w:r>
              <w:rPr>
                <w:rFonts w:hint="eastAsia" w:ascii="宋体" w:hAnsi="宋体"/>
                <w:highlight w:val="none"/>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3789" w:type="dxa"/>
            <w:vAlign w:val="center"/>
          </w:tcPr>
          <w:p>
            <w:pPr>
              <w:spacing w:line="720" w:lineRule="exact"/>
              <w:jc w:val="center"/>
              <w:rPr>
                <w:rFonts w:ascii="宋体" w:hAnsi="宋体"/>
                <w:bCs/>
                <w:sz w:val="24"/>
                <w:highlight w:val="none"/>
              </w:rPr>
            </w:pPr>
            <w:r>
              <w:rPr>
                <w:rFonts w:hint="eastAsia" w:ascii="宋体" w:hAnsi="宋体"/>
                <w:bCs/>
                <w:sz w:val="24"/>
                <w:highlight w:val="none"/>
              </w:rPr>
              <w:t>供应商名称</w:t>
            </w:r>
          </w:p>
        </w:tc>
        <w:tc>
          <w:tcPr>
            <w:tcW w:w="5531" w:type="dxa"/>
            <w:vAlign w:val="center"/>
          </w:tcPr>
          <w:p>
            <w:pPr>
              <w:spacing w:line="72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8" w:hRule="atLeast"/>
        </w:trPr>
        <w:tc>
          <w:tcPr>
            <w:tcW w:w="3789" w:type="dxa"/>
            <w:vAlign w:val="center"/>
          </w:tcPr>
          <w:p>
            <w:pPr>
              <w:spacing w:line="500" w:lineRule="exact"/>
              <w:jc w:val="center"/>
              <w:rPr>
                <w:rFonts w:ascii="宋体" w:hAnsi="宋体"/>
                <w:sz w:val="24"/>
                <w:highlight w:val="none"/>
              </w:rPr>
            </w:pPr>
            <w:r>
              <w:rPr>
                <w:rFonts w:hint="eastAsia" w:ascii="宋体" w:hAnsi="宋体"/>
                <w:sz w:val="24"/>
                <w:highlight w:val="none"/>
              </w:rPr>
              <w:t>投标报价</w:t>
            </w:r>
          </w:p>
        </w:tc>
        <w:tc>
          <w:tcPr>
            <w:tcW w:w="5531" w:type="dxa"/>
            <w:vAlign w:val="center"/>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3789" w:type="dxa"/>
            <w:vAlign w:val="center"/>
          </w:tcPr>
          <w:p>
            <w:pPr>
              <w:spacing w:line="500" w:lineRule="exact"/>
              <w:jc w:val="center"/>
              <w:rPr>
                <w:rFonts w:ascii="宋体" w:hAnsi="宋体"/>
                <w:sz w:val="24"/>
                <w:highlight w:val="none"/>
              </w:rPr>
            </w:pPr>
            <w:r>
              <w:rPr>
                <w:rFonts w:hint="eastAsia" w:ascii="宋体" w:hAnsi="宋体"/>
                <w:sz w:val="24"/>
                <w:highlight w:val="none"/>
              </w:rPr>
              <w:t>设计期限</w:t>
            </w:r>
          </w:p>
        </w:tc>
        <w:tc>
          <w:tcPr>
            <w:tcW w:w="5531" w:type="dxa"/>
            <w:vAlign w:val="center"/>
          </w:tcPr>
          <w:p>
            <w:pPr>
              <w:rPr>
                <w:rFonts w:ascii="宋体" w:hAnsi="宋体"/>
                <w:sz w:val="24"/>
                <w:highlight w:val="none"/>
                <w:u w:val="single"/>
              </w:rPr>
            </w:pPr>
            <w:r>
              <w:rPr>
                <w:rFonts w:hint="eastAsia" w:ascii="宋体" w:hAnsi="宋体"/>
                <w:sz w:val="24"/>
                <w:highlight w:val="none"/>
              </w:rPr>
              <w:t>签订合同后</w:t>
            </w:r>
            <w:r>
              <w:rPr>
                <w:rFonts w:hint="eastAsia" w:ascii="宋体" w:hAnsi="宋体"/>
                <w:sz w:val="24"/>
                <w:highlight w:val="none"/>
                <w:u w:val="single"/>
              </w:rPr>
              <w:t xml:space="preserve"> 10 </w:t>
            </w:r>
            <w:r>
              <w:rPr>
                <w:rFonts w:hint="eastAsia" w:ascii="宋体" w:hAnsi="宋体"/>
                <w:sz w:val="24"/>
                <w:highlight w:val="none"/>
              </w:rPr>
              <w:t>日历天内完成设计方案，待设计方案经采购人认可后</w:t>
            </w:r>
            <w:r>
              <w:rPr>
                <w:rFonts w:hint="eastAsia" w:ascii="宋体" w:hAnsi="宋体"/>
                <w:sz w:val="24"/>
                <w:highlight w:val="none"/>
                <w:u w:val="single"/>
              </w:rPr>
              <w:t xml:space="preserve"> </w:t>
            </w:r>
            <w:r>
              <w:rPr>
                <w:rFonts w:hint="eastAsia" w:ascii="宋体" w:hAnsi="宋体"/>
                <w:sz w:val="24"/>
                <w:highlight w:val="none"/>
                <w:u w:val="single"/>
                <w:lang w:val="en-US" w:eastAsia="zh-CN"/>
              </w:rPr>
              <w:t>20</w:t>
            </w:r>
            <w:r>
              <w:rPr>
                <w:rFonts w:hint="eastAsia" w:ascii="宋体" w:hAnsi="宋体"/>
                <w:sz w:val="24"/>
                <w:highlight w:val="none"/>
                <w:u w:val="single"/>
              </w:rPr>
              <w:t xml:space="preserve"> </w:t>
            </w:r>
            <w:r>
              <w:rPr>
                <w:rFonts w:hint="eastAsia" w:ascii="宋体" w:hAnsi="宋体"/>
                <w:sz w:val="24"/>
                <w:highlight w:val="none"/>
              </w:rPr>
              <w:t>日历天内完成全部施工图纸设计（含概算及控制价）。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3789" w:type="dxa"/>
            <w:vAlign w:val="center"/>
          </w:tcPr>
          <w:p>
            <w:pPr>
              <w:spacing w:line="500" w:lineRule="exact"/>
              <w:jc w:val="center"/>
              <w:rPr>
                <w:rFonts w:ascii="宋体" w:hAnsi="宋体"/>
                <w:sz w:val="24"/>
                <w:highlight w:val="none"/>
              </w:rPr>
            </w:pPr>
            <w:r>
              <w:rPr>
                <w:rFonts w:hint="eastAsia" w:ascii="宋体" w:hAnsi="宋体"/>
                <w:sz w:val="24"/>
                <w:highlight w:val="none"/>
              </w:rPr>
              <w:t>服务要求</w:t>
            </w:r>
          </w:p>
        </w:tc>
        <w:tc>
          <w:tcPr>
            <w:tcW w:w="5531" w:type="dxa"/>
            <w:vAlign w:val="center"/>
          </w:tcPr>
          <w:p>
            <w:pPr>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3789" w:type="dxa"/>
            <w:vAlign w:val="center"/>
          </w:tcPr>
          <w:p>
            <w:pPr>
              <w:spacing w:line="500" w:lineRule="exact"/>
              <w:jc w:val="center"/>
              <w:rPr>
                <w:rFonts w:ascii="宋体" w:hAnsi="宋体"/>
                <w:sz w:val="24"/>
                <w:highlight w:val="none"/>
              </w:rPr>
            </w:pPr>
            <w:r>
              <w:rPr>
                <w:rFonts w:hint="eastAsia" w:ascii="宋体" w:hAnsi="宋体"/>
                <w:sz w:val="24"/>
                <w:highlight w:val="none"/>
              </w:rPr>
              <w:t>质量要求</w:t>
            </w:r>
          </w:p>
        </w:tc>
        <w:tc>
          <w:tcPr>
            <w:tcW w:w="5531" w:type="dxa"/>
            <w:vAlign w:val="center"/>
          </w:tcPr>
          <w:p>
            <w:pPr>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3789" w:type="dxa"/>
            <w:vAlign w:val="center"/>
          </w:tcPr>
          <w:p>
            <w:pPr>
              <w:spacing w:line="720" w:lineRule="exact"/>
              <w:jc w:val="center"/>
              <w:rPr>
                <w:rFonts w:ascii="宋体" w:hAnsi="宋体"/>
                <w:sz w:val="24"/>
                <w:highlight w:val="none"/>
              </w:rPr>
            </w:pPr>
            <w:r>
              <w:rPr>
                <w:rFonts w:hint="eastAsia" w:ascii="宋体" w:hAnsi="宋体"/>
                <w:sz w:val="24"/>
                <w:highlight w:val="none"/>
              </w:rPr>
              <w:t>优惠条件</w:t>
            </w:r>
          </w:p>
        </w:tc>
        <w:tc>
          <w:tcPr>
            <w:tcW w:w="5531" w:type="dxa"/>
            <w:vAlign w:val="center"/>
          </w:tcPr>
          <w:p>
            <w:pPr>
              <w:spacing w:line="72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atLeast"/>
        </w:trPr>
        <w:tc>
          <w:tcPr>
            <w:tcW w:w="3789" w:type="dxa"/>
            <w:vAlign w:val="center"/>
          </w:tcPr>
          <w:p>
            <w:pPr>
              <w:spacing w:line="360" w:lineRule="exact"/>
              <w:jc w:val="center"/>
              <w:rPr>
                <w:rFonts w:ascii="宋体" w:hAnsi="宋体"/>
                <w:sz w:val="24"/>
                <w:highlight w:val="none"/>
              </w:rPr>
            </w:pPr>
            <w:r>
              <w:rPr>
                <w:rFonts w:hint="eastAsia" w:ascii="宋体" w:hAnsi="宋体"/>
                <w:sz w:val="24"/>
                <w:highlight w:val="none"/>
              </w:rPr>
              <w:t>对磋商文件的认同程度</w:t>
            </w:r>
          </w:p>
          <w:p>
            <w:pPr>
              <w:spacing w:line="360" w:lineRule="exact"/>
              <w:jc w:val="center"/>
              <w:rPr>
                <w:rFonts w:ascii="宋体" w:hAnsi="宋体"/>
                <w:sz w:val="24"/>
                <w:highlight w:val="none"/>
              </w:rPr>
            </w:pPr>
            <w:r>
              <w:rPr>
                <w:rFonts w:hint="eastAsia" w:ascii="宋体" w:hAnsi="宋体"/>
                <w:sz w:val="24"/>
                <w:highlight w:val="none"/>
              </w:rPr>
              <w:t>（有偏离或完全响应）</w:t>
            </w:r>
          </w:p>
        </w:tc>
        <w:tc>
          <w:tcPr>
            <w:tcW w:w="5531" w:type="dxa"/>
            <w:vAlign w:val="center"/>
          </w:tcPr>
          <w:p>
            <w:pPr>
              <w:spacing w:line="70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3789" w:type="dxa"/>
            <w:vAlign w:val="center"/>
          </w:tcPr>
          <w:p>
            <w:pPr>
              <w:spacing w:line="360" w:lineRule="exact"/>
              <w:jc w:val="center"/>
              <w:rPr>
                <w:rFonts w:ascii="宋体" w:hAnsi="宋体"/>
                <w:sz w:val="24"/>
                <w:highlight w:val="none"/>
              </w:rPr>
            </w:pPr>
            <w:r>
              <w:rPr>
                <w:rFonts w:hint="eastAsia" w:ascii="宋体" w:hAnsi="宋体"/>
                <w:sz w:val="24"/>
                <w:highlight w:val="none"/>
              </w:rPr>
              <w:t>授权代表现场签字确认</w:t>
            </w:r>
          </w:p>
        </w:tc>
        <w:tc>
          <w:tcPr>
            <w:tcW w:w="5531" w:type="dxa"/>
            <w:vAlign w:val="center"/>
          </w:tcPr>
          <w:p>
            <w:pPr>
              <w:spacing w:line="700" w:lineRule="exact"/>
              <w:jc w:val="center"/>
              <w:rPr>
                <w:rFonts w:ascii="宋体" w:hAnsi="宋体"/>
                <w:sz w:val="24"/>
                <w:highlight w:val="none"/>
              </w:rPr>
            </w:pPr>
          </w:p>
        </w:tc>
      </w:tr>
    </w:tbl>
    <w:p>
      <w:pPr>
        <w:rPr>
          <w:rFonts w:ascii="宋体" w:hAnsi="宋体"/>
          <w:sz w:val="24"/>
          <w:highlight w:val="none"/>
        </w:rPr>
      </w:pPr>
    </w:p>
    <w:p>
      <w:pPr>
        <w:rPr>
          <w:rFonts w:ascii="宋体" w:hAnsi="宋体"/>
          <w:sz w:val="24"/>
          <w:highlight w:val="none"/>
        </w:rPr>
      </w:pPr>
      <w:r>
        <w:rPr>
          <w:rFonts w:hint="eastAsia" w:ascii="宋体" w:hAnsi="宋体"/>
          <w:sz w:val="24"/>
          <w:highlight w:val="none"/>
        </w:rPr>
        <w:t xml:space="preserve">供应商（盖章）：                   </w:t>
      </w:r>
    </w:p>
    <w:p>
      <w:pPr>
        <w:rPr>
          <w:rFonts w:ascii="宋体" w:hAnsi="宋体"/>
          <w:sz w:val="24"/>
          <w:highlight w:val="none"/>
        </w:rPr>
      </w:pPr>
    </w:p>
    <w:p>
      <w:pPr>
        <w:rPr>
          <w:rFonts w:ascii="宋体" w:hAnsi="宋体"/>
          <w:sz w:val="24"/>
          <w:highlight w:val="none"/>
        </w:rPr>
      </w:pPr>
      <w:r>
        <w:rPr>
          <w:rFonts w:hint="eastAsia" w:ascii="宋体" w:hAnsi="宋体"/>
          <w:sz w:val="24"/>
          <w:highlight w:val="none"/>
        </w:rPr>
        <w:t>法人代表（或授权代表）（签字或盖章）：</w:t>
      </w:r>
    </w:p>
    <w:p>
      <w:pPr>
        <w:rPr>
          <w:rFonts w:ascii="宋体" w:hAnsi="宋体"/>
          <w:sz w:val="24"/>
          <w:highlight w:val="none"/>
        </w:rPr>
      </w:pPr>
      <w:r>
        <w:rPr>
          <w:rFonts w:hint="eastAsia" w:ascii="宋体" w:hAnsi="宋体"/>
          <w:sz w:val="24"/>
          <w:highlight w:val="none"/>
        </w:rPr>
        <w:t xml:space="preserve">                                       </w:t>
      </w:r>
    </w:p>
    <w:p>
      <w:pPr>
        <w:jc w:val="right"/>
        <w:rPr>
          <w:rFonts w:ascii="宋体" w:hAnsi="宋体"/>
          <w:sz w:val="24"/>
          <w:highlight w:val="none"/>
        </w:rPr>
      </w:pPr>
      <w:r>
        <w:rPr>
          <w:rFonts w:hint="eastAsia" w:ascii="宋体" w:hAnsi="宋体"/>
          <w:sz w:val="24"/>
          <w:highlight w:val="none"/>
        </w:rPr>
        <w:t>日期：    年   月   日</w:t>
      </w:r>
    </w:p>
    <w:p>
      <w:pPr>
        <w:jc w:val="right"/>
        <w:rPr>
          <w:rFonts w:ascii="宋体" w:hAnsi="宋体"/>
          <w:sz w:val="24"/>
          <w:highlight w:val="none"/>
        </w:rPr>
      </w:pPr>
    </w:p>
    <w:p>
      <w:pPr>
        <w:pStyle w:val="9"/>
        <w:ind w:firstLine="472" w:firstLineChars="196"/>
        <w:rPr>
          <w:rFonts w:ascii="宋体" w:hAnsi="宋体"/>
          <w:b/>
          <w:sz w:val="24"/>
          <w:highlight w:val="none"/>
        </w:rPr>
      </w:pPr>
      <w:r>
        <w:rPr>
          <w:rFonts w:hint="eastAsia" w:ascii="宋体" w:hAnsi="宋体"/>
          <w:b/>
          <w:sz w:val="24"/>
          <w:highlight w:val="none"/>
        </w:rPr>
        <w:t>注：1.本唱标单不仅与报价文件装订在一起，还应另准备一份《唱标单》单独密封在一个信封内，与报价文件同时递交，各项内容均应填写，可以填满，但不允许添加副页。</w:t>
      </w:r>
    </w:p>
    <w:p>
      <w:pPr>
        <w:rPr>
          <w:highlight w:val="none"/>
        </w:rPr>
      </w:pPr>
    </w:p>
    <w:p>
      <w:pPr>
        <w:rPr>
          <w:highlight w:val="none"/>
        </w:rPr>
      </w:pPr>
    </w:p>
    <w:p>
      <w:pPr>
        <w:pStyle w:val="2"/>
        <w:rPr>
          <w:highlight w:val="none"/>
        </w:rPr>
      </w:pPr>
    </w:p>
    <w:p>
      <w:pPr>
        <w:pStyle w:val="2"/>
        <w:rPr>
          <w:highlight w:val="none"/>
        </w:rPr>
      </w:pPr>
    </w:p>
    <w:p>
      <w:pPr>
        <w:pStyle w:val="4"/>
        <w:numPr>
          <w:ilvl w:val="0"/>
          <w:numId w:val="5"/>
        </w:numPr>
        <w:spacing w:before="120" w:after="120" w:line="520" w:lineRule="exact"/>
        <w:jc w:val="center"/>
        <w:rPr>
          <w:highlight w:val="none"/>
        </w:rPr>
      </w:pPr>
      <w:r>
        <w:rPr>
          <w:rFonts w:hint="eastAsia"/>
          <w:highlight w:val="none"/>
        </w:rPr>
        <w:t>磋商报价明细表</w:t>
      </w:r>
    </w:p>
    <w:p>
      <w:pPr>
        <w:pStyle w:val="10"/>
        <w:spacing w:beforeLines="50" w:line="480" w:lineRule="exact"/>
        <w:ind w:left="50" w:leftChars="24" w:firstLine="288" w:firstLineChars="120"/>
        <w:rPr>
          <w:rFonts w:ascii="宋体" w:hAnsi="宋体"/>
          <w:bCs/>
          <w:highlight w:val="none"/>
        </w:rPr>
      </w:pPr>
      <w:r>
        <w:rPr>
          <w:rFonts w:hint="eastAsia" w:ascii="宋体" w:hAnsi="宋体"/>
          <w:bCs/>
          <w:highlight w:val="none"/>
        </w:rPr>
        <w:t>项目编号：</w:t>
      </w:r>
    </w:p>
    <w:p>
      <w:pPr>
        <w:pStyle w:val="10"/>
        <w:spacing w:line="480" w:lineRule="exact"/>
        <w:ind w:left="50" w:leftChars="24" w:firstLine="288" w:firstLineChars="120"/>
        <w:rPr>
          <w:rFonts w:ascii="宋体" w:hAnsi="宋体"/>
          <w:bCs/>
          <w:highlight w:val="none"/>
        </w:rPr>
      </w:pPr>
      <w:r>
        <w:rPr>
          <w:rFonts w:hint="eastAsia" w:ascii="宋体" w:hAnsi="宋体"/>
          <w:bCs/>
          <w:highlight w:val="none"/>
        </w:rPr>
        <w:t>供应商名称：（公章）</w:t>
      </w:r>
      <w:r>
        <w:rPr>
          <w:rFonts w:hint="eastAsia" w:ascii="宋体" w:hAnsi="宋体"/>
          <w:bCs/>
          <w:highlight w:val="none"/>
          <w:u w:val="single"/>
        </w:rPr>
        <w:t xml:space="preserve">            </w:t>
      </w:r>
      <w:r>
        <w:rPr>
          <w:rFonts w:hint="eastAsia" w:ascii="宋体" w:hAnsi="宋体"/>
          <w:bCs/>
          <w:highlight w:val="none"/>
        </w:rPr>
        <w:t xml:space="preserve">       法定代表人或授权代理人签字：</w:t>
      </w:r>
      <w:r>
        <w:rPr>
          <w:rFonts w:hint="eastAsia" w:ascii="宋体" w:hAnsi="宋体"/>
          <w:bCs/>
          <w:highlight w:val="none"/>
          <w:u w:val="single"/>
        </w:rPr>
        <w:t xml:space="preserve">         </w:t>
      </w:r>
      <w:r>
        <w:rPr>
          <w:rFonts w:hint="eastAsia" w:ascii="宋体" w:hAnsi="宋体"/>
          <w:bCs/>
          <w:highlight w:val="none"/>
        </w:rPr>
        <w:t xml:space="preserve">   </w:t>
      </w:r>
    </w:p>
    <w:tbl>
      <w:tblPr>
        <w:tblStyle w:val="19"/>
        <w:tblW w:w="8940" w:type="dxa"/>
        <w:jc w:val="center"/>
        <w:tblInd w:w="-20" w:type="dxa"/>
        <w:tblLayout w:type="fixed"/>
        <w:tblCellMar>
          <w:top w:w="0" w:type="dxa"/>
          <w:left w:w="0" w:type="dxa"/>
          <w:bottom w:w="0" w:type="dxa"/>
          <w:right w:w="0" w:type="dxa"/>
        </w:tblCellMar>
      </w:tblPr>
      <w:tblGrid>
        <w:gridCol w:w="1495"/>
        <w:gridCol w:w="1668"/>
        <w:gridCol w:w="1882"/>
        <w:gridCol w:w="1530"/>
        <w:gridCol w:w="2365"/>
      </w:tblGrid>
      <w:tr>
        <w:tblPrEx>
          <w:tblLayout w:type="fixed"/>
          <w:tblCellMar>
            <w:top w:w="0" w:type="dxa"/>
            <w:left w:w="0" w:type="dxa"/>
            <w:bottom w:w="0" w:type="dxa"/>
            <w:right w:w="0" w:type="dxa"/>
          </w:tblCellMar>
        </w:tblPrEx>
        <w:trPr>
          <w:trHeight w:val="643" w:hRule="exact"/>
          <w:jc w:val="center"/>
        </w:trPr>
        <w:tc>
          <w:tcPr>
            <w:tcW w:w="149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highlight w:val="none"/>
              </w:rPr>
            </w:pPr>
            <w:r>
              <w:rPr>
                <w:rFonts w:hint="eastAsia" w:ascii="宋体" w:hAnsi="宋体" w:cs="宋体"/>
                <w:sz w:val="24"/>
                <w:highlight w:val="none"/>
              </w:rPr>
              <w:t>项目名称</w:t>
            </w:r>
          </w:p>
        </w:tc>
        <w:tc>
          <w:tcPr>
            <w:tcW w:w="7445" w:type="dxa"/>
            <w:gridSpan w:val="4"/>
            <w:tcBorders>
              <w:top w:val="single" w:color="auto" w:sz="8" w:space="0"/>
              <w:left w:val="single" w:color="auto" w:sz="8" w:space="0"/>
              <w:bottom w:val="single" w:color="auto" w:sz="8" w:space="0"/>
              <w:right w:val="single" w:color="auto" w:sz="8" w:space="0"/>
            </w:tcBorders>
            <w:vAlign w:val="center"/>
          </w:tcPr>
          <w:p>
            <w:pPr>
              <w:rPr>
                <w:rFonts w:ascii="宋体" w:hAnsi="宋体" w:cs="宋体"/>
                <w:sz w:val="24"/>
                <w:highlight w:val="none"/>
              </w:rPr>
            </w:pPr>
          </w:p>
        </w:tc>
      </w:tr>
      <w:tr>
        <w:tblPrEx>
          <w:tblLayout w:type="fixed"/>
          <w:tblCellMar>
            <w:top w:w="0" w:type="dxa"/>
            <w:left w:w="0" w:type="dxa"/>
            <w:bottom w:w="0" w:type="dxa"/>
            <w:right w:w="0" w:type="dxa"/>
          </w:tblCellMar>
        </w:tblPrEx>
        <w:trPr>
          <w:trHeight w:val="643" w:hRule="exact"/>
          <w:jc w:val="center"/>
        </w:trPr>
        <w:tc>
          <w:tcPr>
            <w:tcW w:w="149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highlight w:val="none"/>
              </w:rPr>
            </w:pPr>
            <w:r>
              <w:rPr>
                <w:rFonts w:hint="eastAsia" w:ascii="宋体" w:hAnsi="宋体" w:cs="宋体"/>
                <w:sz w:val="24"/>
                <w:highlight w:val="none"/>
              </w:rPr>
              <w:t>项目编号</w:t>
            </w:r>
          </w:p>
        </w:tc>
        <w:tc>
          <w:tcPr>
            <w:tcW w:w="7445" w:type="dxa"/>
            <w:gridSpan w:val="4"/>
            <w:tcBorders>
              <w:top w:val="single" w:color="auto" w:sz="8" w:space="0"/>
              <w:left w:val="single" w:color="auto" w:sz="8" w:space="0"/>
              <w:bottom w:val="single" w:color="auto" w:sz="8" w:space="0"/>
              <w:right w:val="single" w:color="auto" w:sz="8" w:space="0"/>
            </w:tcBorders>
            <w:vAlign w:val="center"/>
          </w:tcPr>
          <w:p>
            <w:pPr>
              <w:rPr>
                <w:rFonts w:ascii="宋体" w:hAnsi="宋体" w:cs="宋体"/>
                <w:sz w:val="24"/>
                <w:highlight w:val="none"/>
              </w:rPr>
            </w:pPr>
          </w:p>
        </w:tc>
      </w:tr>
      <w:tr>
        <w:tblPrEx>
          <w:tblLayout w:type="fixed"/>
          <w:tblCellMar>
            <w:top w:w="0" w:type="dxa"/>
            <w:left w:w="0" w:type="dxa"/>
            <w:bottom w:w="0" w:type="dxa"/>
            <w:right w:w="0" w:type="dxa"/>
          </w:tblCellMar>
        </w:tblPrEx>
        <w:trPr>
          <w:cantSplit/>
          <w:trHeight w:val="665" w:hRule="exact"/>
          <w:jc w:val="center"/>
        </w:trPr>
        <w:tc>
          <w:tcPr>
            <w:tcW w:w="1495" w:type="dxa"/>
            <w:vMerge w:val="restart"/>
            <w:tcBorders>
              <w:top w:val="single" w:color="auto" w:sz="8" w:space="0"/>
              <w:left w:val="single" w:color="auto" w:sz="8" w:space="0"/>
              <w:bottom w:val="nil"/>
              <w:right w:val="single" w:color="auto" w:sz="8" w:space="0"/>
            </w:tcBorders>
            <w:vAlign w:val="center"/>
          </w:tcPr>
          <w:p>
            <w:pPr>
              <w:jc w:val="center"/>
              <w:rPr>
                <w:rFonts w:ascii="宋体" w:hAnsi="宋体" w:cs="宋体"/>
                <w:sz w:val="24"/>
                <w:highlight w:val="none"/>
              </w:rPr>
            </w:pPr>
            <w:r>
              <w:rPr>
                <w:rFonts w:hint="eastAsia" w:ascii="宋体" w:hAnsi="宋体" w:cs="宋体"/>
                <w:sz w:val="24"/>
                <w:highlight w:val="none"/>
              </w:rPr>
              <w:t>设计费报价（元人民币）</w:t>
            </w:r>
          </w:p>
        </w:tc>
        <w:tc>
          <w:tcPr>
            <w:tcW w:w="7445" w:type="dxa"/>
            <w:gridSpan w:val="4"/>
            <w:tcBorders>
              <w:top w:val="single" w:color="auto" w:sz="8" w:space="0"/>
              <w:left w:val="single" w:color="auto" w:sz="8" w:space="0"/>
              <w:bottom w:val="single" w:color="auto" w:sz="8" w:space="0"/>
              <w:right w:val="single" w:color="auto" w:sz="8" w:space="0"/>
            </w:tcBorders>
            <w:vAlign w:val="center"/>
          </w:tcPr>
          <w:p>
            <w:pPr>
              <w:ind w:right="630"/>
              <w:rPr>
                <w:rFonts w:ascii="宋体" w:hAnsi="宋体" w:cs="宋体"/>
                <w:sz w:val="24"/>
                <w:highlight w:val="none"/>
              </w:rPr>
            </w:pPr>
            <w:r>
              <w:rPr>
                <w:rFonts w:hint="eastAsia" w:ascii="宋体" w:hAnsi="宋体" w:cs="宋体"/>
                <w:sz w:val="24"/>
                <w:highlight w:val="none"/>
              </w:rPr>
              <w:t>（大写）</w:t>
            </w:r>
          </w:p>
        </w:tc>
      </w:tr>
      <w:tr>
        <w:tblPrEx>
          <w:tblLayout w:type="fixed"/>
          <w:tblCellMar>
            <w:top w:w="0" w:type="dxa"/>
            <w:left w:w="0" w:type="dxa"/>
            <w:bottom w:w="0" w:type="dxa"/>
            <w:right w:w="0" w:type="dxa"/>
          </w:tblCellMar>
        </w:tblPrEx>
        <w:trPr>
          <w:cantSplit/>
          <w:trHeight w:val="643" w:hRule="atLeast"/>
          <w:jc w:val="center"/>
        </w:trPr>
        <w:tc>
          <w:tcPr>
            <w:tcW w:w="1495" w:type="dxa"/>
            <w:vMerge w:val="continue"/>
            <w:tcBorders>
              <w:top w:val="single" w:color="auto" w:sz="8" w:space="0"/>
              <w:left w:val="single" w:color="auto" w:sz="8" w:space="0"/>
              <w:bottom w:val="nil"/>
              <w:right w:val="single" w:color="auto" w:sz="8" w:space="0"/>
            </w:tcBorders>
            <w:vAlign w:val="center"/>
          </w:tcPr>
          <w:p>
            <w:pPr>
              <w:rPr>
                <w:sz w:val="20"/>
                <w:szCs w:val="20"/>
                <w:highlight w:val="none"/>
              </w:rPr>
            </w:pPr>
          </w:p>
        </w:tc>
        <w:tc>
          <w:tcPr>
            <w:tcW w:w="7445" w:type="dxa"/>
            <w:gridSpan w:val="4"/>
            <w:tcBorders>
              <w:top w:val="single" w:color="auto" w:sz="8" w:space="0"/>
              <w:left w:val="single" w:color="auto" w:sz="8" w:space="0"/>
              <w:bottom w:val="single" w:color="auto" w:sz="8" w:space="0"/>
              <w:right w:val="single" w:color="auto" w:sz="8" w:space="0"/>
            </w:tcBorders>
            <w:vAlign w:val="center"/>
          </w:tcPr>
          <w:p>
            <w:pPr>
              <w:ind w:right="630"/>
              <w:rPr>
                <w:rFonts w:ascii="宋体" w:hAnsi="宋体" w:cs="宋体"/>
                <w:sz w:val="24"/>
                <w:highlight w:val="none"/>
              </w:rPr>
            </w:pPr>
            <w:r>
              <w:rPr>
                <w:rFonts w:hint="eastAsia" w:ascii="宋体" w:hAnsi="宋体" w:cs="宋体"/>
                <w:sz w:val="24"/>
                <w:highlight w:val="none"/>
              </w:rPr>
              <w:t>（小写）</w:t>
            </w:r>
          </w:p>
        </w:tc>
      </w:tr>
      <w:tr>
        <w:tblPrEx>
          <w:tblLayout w:type="fixed"/>
          <w:tblCellMar>
            <w:top w:w="0" w:type="dxa"/>
            <w:left w:w="0" w:type="dxa"/>
            <w:bottom w:w="0" w:type="dxa"/>
            <w:right w:w="0" w:type="dxa"/>
          </w:tblCellMar>
        </w:tblPrEx>
        <w:trPr>
          <w:trHeight w:val="686" w:hRule="exact"/>
          <w:jc w:val="center"/>
        </w:trPr>
        <w:tc>
          <w:tcPr>
            <w:tcW w:w="149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highlight w:val="none"/>
              </w:rPr>
            </w:pPr>
            <w:r>
              <w:rPr>
                <w:rFonts w:hint="eastAsia" w:ascii="宋体" w:hAnsi="宋体" w:cs="宋体"/>
                <w:sz w:val="24"/>
                <w:highlight w:val="none"/>
              </w:rPr>
              <w:t>工作内容</w:t>
            </w:r>
          </w:p>
        </w:tc>
        <w:tc>
          <w:tcPr>
            <w:tcW w:w="1668"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highlight w:val="none"/>
              </w:rPr>
            </w:pPr>
            <w:r>
              <w:rPr>
                <w:rFonts w:hint="eastAsia" w:ascii="宋体" w:hAnsi="宋体" w:cs="宋体"/>
                <w:sz w:val="24"/>
                <w:highlight w:val="none"/>
              </w:rPr>
              <w:t>项目明细</w:t>
            </w:r>
          </w:p>
        </w:tc>
        <w:tc>
          <w:tcPr>
            <w:tcW w:w="1882" w:type="dxa"/>
            <w:tcBorders>
              <w:top w:val="single" w:color="auto" w:sz="8" w:space="0"/>
              <w:left w:val="single" w:color="auto" w:sz="8" w:space="0"/>
              <w:bottom w:val="single" w:color="auto" w:sz="8"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计算过程及依据</w:t>
            </w:r>
          </w:p>
        </w:tc>
        <w:tc>
          <w:tcPr>
            <w:tcW w:w="1530" w:type="dxa"/>
            <w:tcBorders>
              <w:top w:val="single" w:color="auto" w:sz="8" w:space="0"/>
              <w:left w:val="single" w:color="auto" w:sz="4" w:space="0"/>
              <w:bottom w:val="single" w:color="auto" w:sz="8" w:space="0"/>
              <w:right w:val="single" w:color="auto" w:sz="8" w:space="0"/>
            </w:tcBorders>
            <w:vAlign w:val="center"/>
          </w:tcPr>
          <w:p>
            <w:pPr>
              <w:jc w:val="center"/>
              <w:rPr>
                <w:rFonts w:ascii="宋体" w:hAnsi="宋体" w:cs="宋体"/>
                <w:sz w:val="24"/>
                <w:highlight w:val="none"/>
              </w:rPr>
            </w:pPr>
            <w:r>
              <w:rPr>
                <w:rFonts w:hint="eastAsia" w:ascii="宋体" w:hAnsi="宋体" w:cs="宋体"/>
                <w:sz w:val="24"/>
                <w:highlight w:val="none"/>
              </w:rPr>
              <w:t>单价（元</w:t>
            </w:r>
            <w:r>
              <w:rPr>
                <w:rFonts w:ascii="宋体" w:hAnsi="宋体" w:cs="宋体"/>
                <w:sz w:val="24"/>
                <w:highlight w:val="none"/>
              </w:rPr>
              <w:t>/</w:t>
            </w:r>
            <w:r>
              <w:rPr>
                <w:rFonts w:hint="eastAsia" w:ascii="宋体" w:hAnsi="宋体" w:cs="宋体"/>
                <w:sz w:val="24"/>
                <w:highlight w:val="none"/>
              </w:rPr>
              <w:t>㎡）</w:t>
            </w:r>
          </w:p>
        </w:tc>
        <w:tc>
          <w:tcPr>
            <w:tcW w:w="236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highlight w:val="none"/>
              </w:rPr>
            </w:pPr>
            <w:r>
              <w:rPr>
                <w:rFonts w:hint="eastAsia" w:ascii="宋体" w:hAnsi="宋体" w:cs="宋体"/>
                <w:sz w:val="24"/>
                <w:highlight w:val="none"/>
              </w:rPr>
              <w:t>费用（元）</w:t>
            </w:r>
          </w:p>
        </w:tc>
      </w:tr>
      <w:tr>
        <w:tblPrEx>
          <w:tblLayout w:type="fixed"/>
          <w:tblCellMar>
            <w:top w:w="0" w:type="dxa"/>
            <w:left w:w="0" w:type="dxa"/>
            <w:bottom w:w="0" w:type="dxa"/>
            <w:right w:w="0" w:type="dxa"/>
          </w:tblCellMar>
        </w:tblPrEx>
        <w:trPr>
          <w:cantSplit/>
          <w:trHeight w:val="640" w:hRule="exact"/>
          <w:jc w:val="center"/>
        </w:trPr>
        <w:tc>
          <w:tcPr>
            <w:tcW w:w="1495"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highlight w:val="none"/>
              </w:rPr>
            </w:pPr>
          </w:p>
        </w:tc>
        <w:tc>
          <w:tcPr>
            <w:tcW w:w="1668"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highlight w:val="none"/>
              </w:rPr>
            </w:pPr>
          </w:p>
        </w:tc>
        <w:tc>
          <w:tcPr>
            <w:tcW w:w="1882" w:type="dxa"/>
            <w:tcBorders>
              <w:top w:val="single" w:color="auto" w:sz="8" w:space="0"/>
              <w:left w:val="single" w:color="auto" w:sz="8" w:space="0"/>
              <w:bottom w:val="single" w:color="auto" w:sz="8" w:space="0"/>
              <w:right w:val="single" w:color="auto" w:sz="4" w:space="0"/>
            </w:tcBorders>
            <w:vAlign w:val="center"/>
          </w:tcPr>
          <w:p>
            <w:pPr>
              <w:jc w:val="center"/>
              <w:rPr>
                <w:rFonts w:ascii="宋体" w:hAnsi="宋体" w:cs="宋体"/>
                <w:sz w:val="24"/>
                <w:highlight w:val="none"/>
              </w:rPr>
            </w:pPr>
          </w:p>
        </w:tc>
        <w:tc>
          <w:tcPr>
            <w:tcW w:w="1530" w:type="dxa"/>
            <w:tcBorders>
              <w:top w:val="single" w:color="auto" w:sz="8" w:space="0"/>
              <w:left w:val="single" w:color="auto" w:sz="4" w:space="0"/>
              <w:bottom w:val="single" w:color="auto" w:sz="8" w:space="0"/>
              <w:right w:val="single" w:color="auto" w:sz="8" w:space="0"/>
            </w:tcBorders>
            <w:vAlign w:val="center"/>
          </w:tcPr>
          <w:p>
            <w:pPr>
              <w:jc w:val="center"/>
              <w:rPr>
                <w:rFonts w:ascii="宋体" w:hAnsi="宋体" w:cs="宋体"/>
                <w:sz w:val="24"/>
                <w:highlight w:val="none"/>
              </w:rPr>
            </w:pPr>
          </w:p>
        </w:tc>
        <w:tc>
          <w:tcPr>
            <w:tcW w:w="236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highlight w:val="none"/>
              </w:rPr>
            </w:pPr>
          </w:p>
        </w:tc>
      </w:tr>
      <w:tr>
        <w:tblPrEx>
          <w:tblLayout w:type="fixed"/>
          <w:tblCellMar>
            <w:top w:w="0" w:type="dxa"/>
            <w:left w:w="0" w:type="dxa"/>
            <w:bottom w:w="0" w:type="dxa"/>
            <w:right w:w="0" w:type="dxa"/>
          </w:tblCellMar>
        </w:tblPrEx>
        <w:trPr>
          <w:cantSplit/>
          <w:trHeight w:val="665" w:hRule="exact"/>
          <w:jc w:val="center"/>
        </w:trPr>
        <w:tc>
          <w:tcPr>
            <w:tcW w:w="1495" w:type="dxa"/>
            <w:vMerge w:val="continue"/>
            <w:tcBorders>
              <w:top w:val="single" w:color="auto" w:sz="8" w:space="0"/>
              <w:left w:val="single" w:color="auto" w:sz="8" w:space="0"/>
              <w:bottom w:val="single" w:color="auto" w:sz="8" w:space="0"/>
              <w:right w:val="single" w:color="auto" w:sz="8" w:space="0"/>
            </w:tcBorders>
            <w:vAlign w:val="center"/>
          </w:tcPr>
          <w:p>
            <w:pPr>
              <w:rPr>
                <w:sz w:val="20"/>
                <w:szCs w:val="20"/>
                <w:highlight w:val="none"/>
              </w:rPr>
            </w:pPr>
          </w:p>
        </w:tc>
        <w:tc>
          <w:tcPr>
            <w:tcW w:w="1668"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highlight w:val="none"/>
              </w:rPr>
            </w:pPr>
          </w:p>
        </w:tc>
        <w:tc>
          <w:tcPr>
            <w:tcW w:w="1882" w:type="dxa"/>
            <w:tcBorders>
              <w:top w:val="single" w:color="auto" w:sz="8" w:space="0"/>
              <w:left w:val="single" w:color="auto" w:sz="8" w:space="0"/>
              <w:bottom w:val="single" w:color="auto" w:sz="8" w:space="0"/>
              <w:right w:val="single" w:color="auto" w:sz="4" w:space="0"/>
            </w:tcBorders>
            <w:vAlign w:val="center"/>
          </w:tcPr>
          <w:p>
            <w:pPr>
              <w:jc w:val="center"/>
              <w:rPr>
                <w:rFonts w:ascii="宋体" w:hAnsi="宋体" w:cs="宋体"/>
                <w:sz w:val="24"/>
                <w:highlight w:val="none"/>
              </w:rPr>
            </w:pPr>
          </w:p>
        </w:tc>
        <w:tc>
          <w:tcPr>
            <w:tcW w:w="1530" w:type="dxa"/>
            <w:tcBorders>
              <w:top w:val="single" w:color="auto" w:sz="8" w:space="0"/>
              <w:left w:val="single" w:color="auto" w:sz="4" w:space="0"/>
              <w:bottom w:val="single" w:color="auto" w:sz="8" w:space="0"/>
              <w:right w:val="single" w:color="auto" w:sz="8" w:space="0"/>
            </w:tcBorders>
            <w:vAlign w:val="center"/>
          </w:tcPr>
          <w:p>
            <w:pPr>
              <w:jc w:val="center"/>
              <w:rPr>
                <w:rFonts w:ascii="宋体" w:hAnsi="宋体" w:cs="宋体"/>
                <w:sz w:val="24"/>
                <w:highlight w:val="none"/>
              </w:rPr>
            </w:pPr>
          </w:p>
        </w:tc>
        <w:tc>
          <w:tcPr>
            <w:tcW w:w="236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highlight w:val="none"/>
              </w:rPr>
            </w:pPr>
          </w:p>
        </w:tc>
      </w:tr>
      <w:tr>
        <w:tblPrEx>
          <w:tblLayout w:type="fixed"/>
          <w:tblCellMar>
            <w:top w:w="0" w:type="dxa"/>
            <w:left w:w="0" w:type="dxa"/>
            <w:bottom w:w="0" w:type="dxa"/>
            <w:right w:w="0" w:type="dxa"/>
          </w:tblCellMar>
        </w:tblPrEx>
        <w:trPr>
          <w:cantSplit/>
          <w:trHeight w:val="686" w:hRule="exact"/>
          <w:jc w:val="center"/>
        </w:trPr>
        <w:tc>
          <w:tcPr>
            <w:tcW w:w="1495" w:type="dxa"/>
            <w:vMerge w:val="continue"/>
            <w:tcBorders>
              <w:top w:val="single" w:color="auto" w:sz="8" w:space="0"/>
              <w:left w:val="single" w:color="auto" w:sz="8" w:space="0"/>
              <w:bottom w:val="single" w:color="auto" w:sz="8" w:space="0"/>
              <w:right w:val="single" w:color="auto" w:sz="8" w:space="0"/>
            </w:tcBorders>
            <w:vAlign w:val="center"/>
          </w:tcPr>
          <w:p>
            <w:pPr>
              <w:rPr>
                <w:sz w:val="20"/>
                <w:szCs w:val="20"/>
                <w:highlight w:val="none"/>
              </w:rPr>
            </w:pPr>
          </w:p>
        </w:tc>
        <w:tc>
          <w:tcPr>
            <w:tcW w:w="1668"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highlight w:val="none"/>
              </w:rPr>
            </w:pPr>
          </w:p>
        </w:tc>
        <w:tc>
          <w:tcPr>
            <w:tcW w:w="1882" w:type="dxa"/>
            <w:tcBorders>
              <w:top w:val="single" w:color="auto" w:sz="8" w:space="0"/>
              <w:left w:val="single" w:color="auto" w:sz="8" w:space="0"/>
              <w:bottom w:val="single" w:color="auto" w:sz="8" w:space="0"/>
              <w:right w:val="single" w:color="auto" w:sz="4" w:space="0"/>
            </w:tcBorders>
            <w:vAlign w:val="center"/>
          </w:tcPr>
          <w:p>
            <w:pPr>
              <w:jc w:val="center"/>
              <w:rPr>
                <w:rFonts w:ascii="宋体" w:hAnsi="宋体" w:cs="宋体"/>
                <w:sz w:val="24"/>
                <w:highlight w:val="none"/>
              </w:rPr>
            </w:pPr>
          </w:p>
        </w:tc>
        <w:tc>
          <w:tcPr>
            <w:tcW w:w="1530" w:type="dxa"/>
            <w:tcBorders>
              <w:top w:val="single" w:color="auto" w:sz="8" w:space="0"/>
              <w:left w:val="single" w:color="auto" w:sz="4" w:space="0"/>
              <w:bottom w:val="single" w:color="auto" w:sz="8" w:space="0"/>
              <w:right w:val="single" w:color="auto" w:sz="8" w:space="0"/>
            </w:tcBorders>
            <w:vAlign w:val="center"/>
          </w:tcPr>
          <w:p>
            <w:pPr>
              <w:jc w:val="center"/>
              <w:rPr>
                <w:rFonts w:ascii="宋体" w:hAnsi="宋体" w:cs="宋体"/>
                <w:sz w:val="24"/>
                <w:highlight w:val="none"/>
              </w:rPr>
            </w:pPr>
          </w:p>
        </w:tc>
        <w:tc>
          <w:tcPr>
            <w:tcW w:w="236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highlight w:val="none"/>
              </w:rPr>
            </w:pPr>
          </w:p>
        </w:tc>
      </w:tr>
      <w:tr>
        <w:tblPrEx>
          <w:tblLayout w:type="fixed"/>
          <w:tblCellMar>
            <w:top w:w="0" w:type="dxa"/>
            <w:left w:w="0" w:type="dxa"/>
            <w:bottom w:w="0" w:type="dxa"/>
            <w:right w:w="0" w:type="dxa"/>
          </w:tblCellMar>
        </w:tblPrEx>
        <w:trPr>
          <w:cantSplit/>
          <w:trHeight w:val="686" w:hRule="exact"/>
          <w:jc w:val="center"/>
        </w:trPr>
        <w:tc>
          <w:tcPr>
            <w:tcW w:w="1495" w:type="dxa"/>
            <w:vMerge w:val="continue"/>
            <w:tcBorders>
              <w:top w:val="single" w:color="auto" w:sz="8" w:space="0"/>
              <w:left w:val="single" w:color="auto" w:sz="8" w:space="0"/>
              <w:bottom w:val="single" w:color="auto" w:sz="8" w:space="0"/>
              <w:right w:val="single" w:color="auto" w:sz="8" w:space="0"/>
            </w:tcBorders>
            <w:vAlign w:val="center"/>
          </w:tcPr>
          <w:p>
            <w:pPr>
              <w:rPr>
                <w:sz w:val="20"/>
                <w:szCs w:val="20"/>
                <w:highlight w:val="none"/>
              </w:rPr>
            </w:pPr>
          </w:p>
        </w:tc>
        <w:tc>
          <w:tcPr>
            <w:tcW w:w="1668"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highlight w:val="none"/>
              </w:rPr>
            </w:pPr>
          </w:p>
        </w:tc>
        <w:tc>
          <w:tcPr>
            <w:tcW w:w="1882" w:type="dxa"/>
            <w:tcBorders>
              <w:top w:val="single" w:color="auto" w:sz="8" w:space="0"/>
              <w:left w:val="single" w:color="auto" w:sz="8" w:space="0"/>
              <w:bottom w:val="single" w:color="auto" w:sz="8" w:space="0"/>
              <w:right w:val="single" w:color="auto" w:sz="4" w:space="0"/>
            </w:tcBorders>
            <w:vAlign w:val="center"/>
          </w:tcPr>
          <w:p>
            <w:pPr>
              <w:jc w:val="center"/>
              <w:rPr>
                <w:rFonts w:ascii="宋体" w:hAnsi="宋体" w:cs="宋体"/>
                <w:sz w:val="24"/>
                <w:highlight w:val="none"/>
              </w:rPr>
            </w:pPr>
          </w:p>
        </w:tc>
        <w:tc>
          <w:tcPr>
            <w:tcW w:w="1530" w:type="dxa"/>
            <w:tcBorders>
              <w:top w:val="single" w:color="auto" w:sz="8" w:space="0"/>
              <w:left w:val="single" w:color="auto" w:sz="4" w:space="0"/>
              <w:bottom w:val="single" w:color="auto" w:sz="8" w:space="0"/>
              <w:right w:val="single" w:color="auto" w:sz="8" w:space="0"/>
            </w:tcBorders>
            <w:vAlign w:val="center"/>
          </w:tcPr>
          <w:p>
            <w:pPr>
              <w:jc w:val="center"/>
              <w:rPr>
                <w:rFonts w:ascii="宋体" w:hAnsi="宋体" w:cs="宋体"/>
                <w:sz w:val="24"/>
                <w:highlight w:val="none"/>
              </w:rPr>
            </w:pPr>
          </w:p>
        </w:tc>
        <w:tc>
          <w:tcPr>
            <w:tcW w:w="236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highlight w:val="none"/>
              </w:rPr>
            </w:pPr>
          </w:p>
        </w:tc>
      </w:tr>
      <w:tr>
        <w:tblPrEx>
          <w:tblLayout w:type="fixed"/>
          <w:tblCellMar>
            <w:top w:w="0" w:type="dxa"/>
            <w:left w:w="0" w:type="dxa"/>
            <w:bottom w:w="0" w:type="dxa"/>
            <w:right w:w="0" w:type="dxa"/>
          </w:tblCellMar>
        </w:tblPrEx>
        <w:trPr>
          <w:cantSplit/>
          <w:trHeight w:val="729" w:hRule="exact"/>
          <w:jc w:val="center"/>
        </w:trPr>
        <w:tc>
          <w:tcPr>
            <w:tcW w:w="1495" w:type="dxa"/>
            <w:vMerge w:val="continue"/>
            <w:tcBorders>
              <w:top w:val="single" w:color="auto" w:sz="8" w:space="0"/>
              <w:left w:val="single" w:color="auto" w:sz="8" w:space="0"/>
              <w:bottom w:val="single" w:color="auto" w:sz="8" w:space="0"/>
              <w:right w:val="single" w:color="auto" w:sz="8" w:space="0"/>
            </w:tcBorders>
            <w:vAlign w:val="center"/>
          </w:tcPr>
          <w:p>
            <w:pPr>
              <w:rPr>
                <w:sz w:val="20"/>
                <w:szCs w:val="20"/>
                <w:highlight w:val="none"/>
              </w:rPr>
            </w:pPr>
          </w:p>
        </w:tc>
        <w:tc>
          <w:tcPr>
            <w:tcW w:w="1668"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highlight w:val="none"/>
              </w:rPr>
            </w:pPr>
            <w:r>
              <w:rPr>
                <w:rFonts w:ascii="宋体" w:hAnsi="宋体" w:cs="宋体"/>
                <w:sz w:val="24"/>
                <w:highlight w:val="none"/>
              </w:rPr>
              <w:t>.......</w:t>
            </w:r>
          </w:p>
        </w:tc>
        <w:tc>
          <w:tcPr>
            <w:tcW w:w="1882" w:type="dxa"/>
            <w:tcBorders>
              <w:top w:val="single" w:color="auto" w:sz="8" w:space="0"/>
              <w:left w:val="single" w:color="auto" w:sz="8" w:space="0"/>
              <w:bottom w:val="single" w:color="auto" w:sz="8" w:space="0"/>
              <w:right w:val="single" w:color="auto" w:sz="4" w:space="0"/>
            </w:tcBorders>
            <w:vAlign w:val="center"/>
          </w:tcPr>
          <w:p>
            <w:pPr>
              <w:jc w:val="center"/>
              <w:rPr>
                <w:rFonts w:ascii="宋体" w:hAnsi="宋体" w:cs="宋体"/>
                <w:sz w:val="24"/>
                <w:highlight w:val="none"/>
              </w:rPr>
            </w:pPr>
          </w:p>
        </w:tc>
        <w:tc>
          <w:tcPr>
            <w:tcW w:w="1530" w:type="dxa"/>
            <w:tcBorders>
              <w:top w:val="single" w:color="auto" w:sz="8" w:space="0"/>
              <w:left w:val="single" w:color="auto" w:sz="4" w:space="0"/>
              <w:bottom w:val="single" w:color="auto" w:sz="8" w:space="0"/>
              <w:right w:val="single" w:color="auto" w:sz="8" w:space="0"/>
            </w:tcBorders>
            <w:vAlign w:val="center"/>
          </w:tcPr>
          <w:p>
            <w:pPr>
              <w:jc w:val="center"/>
              <w:rPr>
                <w:rFonts w:ascii="宋体" w:hAnsi="宋体" w:cs="宋体"/>
                <w:sz w:val="24"/>
                <w:highlight w:val="none"/>
              </w:rPr>
            </w:pPr>
          </w:p>
        </w:tc>
        <w:tc>
          <w:tcPr>
            <w:tcW w:w="236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highlight w:val="none"/>
              </w:rPr>
            </w:pPr>
          </w:p>
        </w:tc>
      </w:tr>
      <w:tr>
        <w:tblPrEx>
          <w:tblLayout w:type="fixed"/>
          <w:tblCellMar>
            <w:top w:w="0" w:type="dxa"/>
            <w:left w:w="0" w:type="dxa"/>
            <w:bottom w:w="0" w:type="dxa"/>
            <w:right w:w="0" w:type="dxa"/>
          </w:tblCellMar>
        </w:tblPrEx>
        <w:trPr>
          <w:trHeight w:val="2571" w:hRule="exact"/>
          <w:jc w:val="center"/>
        </w:trPr>
        <w:tc>
          <w:tcPr>
            <w:tcW w:w="1495" w:type="dxa"/>
            <w:tcBorders>
              <w:top w:val="single" w:color="auto" w:sz="4" w:space="0"/>
              <w:left w:val="single" w:color="auto" w:sz="8" w:space="0"/>
              <w:bottom w:val="single" w:color="auto" w:sz="8" w:space="0"/>
              <w:right w:val="single" w:color="auto" w:sz="8" w:space="0"/>
            </w:tcBorders>
            <w:vAlign w:val="center"/>
          </w:tcPr>
          <w:p>
            <w:pPr>
              <w:jc w:val="center"/>
              <w:rPr>
                <w:rFonts w:ascii="宋体" w:hAnsi="宋体" w:cs="宋体"/>
                <w:sz w:val="24"/>
                <w:szCs w:val="22"/>
                <w:highlight w:val="none"/>
              </w:rPr>
            </w:pPr>
            <w:r>
              <w:rPr>
                <w:rFonts w:hint="eastAsia" w:ascii="宋体" w:hAnsi="宋体" w:cs="宋体"/>
                <w:sz w:val="24"/>
                <w:szCs w:val="22"/>
                <w:highlight w:val="none"/>
              </w:rPr>
              <w:t>备注</w:t>
            </w:r>
          </w:p>
        </w:tc>
        <w:tc>
          <w:tcPr>
            <w:tcW w:w="7445" w:type="dxa"/>
            <w:gridSpan w:val="4"/>
            <w:tcBorders>
              <w:top w:val="single" w:color="auto" w:sz="4" w:space="0"/>
              <w:left w:val="single" w:color="auto" w:sz="8" w:space="0"/>
              <w:bottom w:val="single" w:color="auto" w:sz="8" w:space="0"/>
              <w:right w:val="single" w:color="auto" w:sz="8" w:space="0"/>
            </w:tcBorders>
            <w:vAlign w:val="center"/>
          </w:tcPr>
          <w:p>
            <w:pPr>
              <w:jc w:val="center"/>
              <w:rPr>
                <w:rFonts w:ascii="宋体" w:hAnsi="宋体" w:cs="宋体"/>
                <w:sz w:val="24"/>
                <w:szCs w:val="22"/>
                <w:highlight w:val="none"/>
              </w:rPr>
            </w:pPr>
          </w:p>
        </w:tc>
      </w:tr>
    </w:tbl>
    <w:p>
      <w:pPr>
        <w:pStyle w:val="10"/>
        <w:spacing w:beforeLines="50" w:line="480" w:lineRule="exact"/>
        <w:ind w:left="0" w:leftChars="-90" w:hanging="189" w:hangingChars="79"/>
        <w:rPr>
          <w:rFonts w:ascii="宋体" w:hAnsi="宋体"/>
          <w:bCs/>
          <w:highlight w:val="none"/>
        </w:rPr>
      </w:pPr>
    </w:p>
    <w:p>
      <w:pPr>
        <w:spacing w:line="360" w:lineRule="auto"/>
        <w:rPr>
          <w:rFonts w:ascii="宋体" w:cs="宋体"/>
          <w:sz w:val="24"/>
          <w:szCs w:val="22"/>
          <w:highlight w:val="none"/>
        </w:rPr>
      </w:pPr>
      <w:r>
        <w:rPr>
          <w:rFonts w:hint="eastAsia" w:ascii="宋体" w:hAnsi="宋体" w:cs="宋体"/>
          <w:sz w:val="24"/>
          <w:szCs w:val="22"/>
          <w:highlight w:val="none"/>
        </w:rPr>
        <w:t>注：</w:t>
      </w:r>
      <w:r>
        <w:rPr>
          <w:rFonts w:ascii="宋体" w:hAnsi="宋体" w:cs="宋体"/>
          <w:sz w:val="24"/>
          <w:szCs w:val="22"/>
          <w:highlight w:val="none"/>
        </w:rPr>
        <w:t>1</w:t>
      </w:r>
      <w:r>
        <w:rPr>
          <w:rFonts w:hint="eastAsia" w:ascii="宋体" w:hAnsi="宋体" w:cs="宋体"/>
          <w:sz w:val="24"/>
          <w:szCs w:val="22"/>
          <w:highlight w:val="none"/>
        </w:rPr>
        <w:t>、表中内容可以根据项目实际情况进行填写。</w:t>
      </w:r>
    </w:p>
    <w:p>
      <w:pPr>
        <w:numPr>
          <w:ilvl w:val="0"/>
          <w:numId w:val="6"/>
        </w:numPr>
        <w:spacing w:line="360" w:lineRule="auto"/>
        <w:rPr>
          <w:rFonts w:ascii="宋体" w:hAnsi="宋体" w:cs="宋体"/>
          <w:sz w:val="24"/>
          <w:szCs w:val="22"/>
          <w:highlight w:val="none"/>
        </w:rPr>
      </w:pPr>
      <w:r>
        <w:rPr>
          <w:rFonts w:hint="eastAsia" w:ascii="宋体" w:hAnsi="宋体" w:cs="宋体"/>
          <w:sz w:val="24"/>
          <w:szCs w:val="22"/>
          <w:highlight w:val="none"/>
        </w:rPr>
        <w:t>表中位置不够可以另行附页。</w:t>
      </w:r>
    </w:p>
    <w:p>
      <w:pPr>
        <w:pStyle w:val="2"/>
        <w:ind w:left="480" w:firstLine="0" w:firstLineChars="0"/>
        <w:rPr>
          <w:highlight w:val="none"/>
        </w:rPr>
      </w:pPr>
    </w:p>
    <w:p>
      <w:pPr>
        <w:pStyle w:val="4"/>
        <w:numPr>
          <w:ilvl w:val="0"/>
          <w:numId w:val="5"/>
        </w:numPr>
        <w:spacing w:before="120" w:after="120" w:line="520" w:lineRule="exact"/>
        <w:jc w:val="center"/>
        <w:rPr>
          <w:highlight w:val="none"/>
        </w:rPr>
      </w:pPr>
      <w:r>
        <w:rPr>
          <w:highlight w:val="none"/>
        </w:rPr>
        <w:t>项目管理机构</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overflowPunct w:val="0"/>
        <w:autoSpaceDE w:val="0"/>
        <w:autoSpaceDN w:val="0"/>
        <w:adjustRightInd w:val="0"/>
        <w:rPr>
          <w:rFonts w:ascii="仿宋_GB2312" w:eastAsia="仿宋_GB2312"/>
          <w:bCs/>
          <w:sz w:val="24"/>
          <w:highlight w:val="none"/>
        </w:rPr>
      </w:pPr>
    </w:p>
    <w:p>
      <w:pPr>
        <w:spacing w:afterLines="100" w:line="420" w:lineRule="exact"/>
        <w:outlineLvl w:val="0"/>
        <w:rPr>
          <w:rFonts w:ascii="黑体" w:hAnsi="宋体" w:eastAsia="黑体" w:cs="黑体"/>
          <w:sz w:val="24"/>
          <w:highlight w:val="none"/>
        </w:rPr>
      </w:pPr>
      <w:bookmarkStart w:id="605" w:name="_Toc4104"/>
      <w:bookmarkStart w:id="606" w:name="_Toc19483"/>
      <w:bookmarkStart w:id="607" w:name="_Toc31131"/>
      <w:bookmarkStart w:id="608" w:name="_Toc144974875"/>
      <w:bookmarkStart w:id="609" w:name="_Toc152045807"/>
      <w:bookmarkStart w:id="610" w:name="_Toc247085890"/>
      <w:bookmarkStart w:id="611" w:name="_Toc296602617"/>
      <w:bookmarkStart w:id="612" w:name="_Toc246997115"/>
      <w:bookmarkStart w:id="613" w:name="_Toc246996372"/>
      <w:bookmarkStart w:id="614" w:name="_Toc152042596"/>
      <w:bookmarkStart w:id="615" w:name="_Toc179632827"/>
      <w:r>
        <w:rPr>
          <w:rFonts w:hint="eastAsia" w:ascii="黑体" w:hAnsi="宋体" w:eastAsia="黑体" w:cs="黑体"/>
          <w:sz w:val="24"/>
          <w:highlight w:val="none"/>
        </w:rPr>
        <w:t>（一）项目管理机构组成表</w:t>
      </w:r>
      <w:bookmarkEnd w:id="605"/>
      <w:bookmarkEnd w:id="606"/>
      <w:bookmarkEnd w:id="607"/>
    </w:p>
    <w:tbl>
      <w:tblPr>
        <w:tblStyle w:val="19"/>
        <w:tblW w:w="9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050"/>
        <w:gridCol w:w="1051"/>
        <w:gridCol w:w="1262"/>
        <w:gridCol w:w="1104"/>
        <w:gridCol w:w="1893"/>
        <w:gridCol w:w="1262"/>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职务</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姓名</w:t>
            </w:r>
          </w:p>
        </w:tc>
        <w:tc>
          <w:tcPr>
            <w:tcW w:w="10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职称</w:t>
            </w:r>
          </w:p>
        </w:tc>
        <w:tc>
          <w:tcPr>
            <w:tcW w:w="552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执业或职业资格证明</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vMerge w:val="continue"/>
            <w:tcBorders>
              <w:top w:val="single" w:color="auto" w:sz="4" w:space="0"/>
              <w:left w:val="single" w:color="auto" w:sz="4" w:space="0"/>
              <w:bottom w:val="single" w:color="auto" w:sz="4" w:space="0"/>
              <w:right w:val="single" w:color="auto" w:sz="4" w:space="0"/>
            </w:tcBorders>
            <w:vAlign w:val="center"/>
          </w:tcPr>
          <w:p>
            <w:pPr>
              <w:rPr>
                <w:rFonts w:cs="Times New Roman"/>
                <w:sz w:val="20"/>
                <w:szCs w:val="20"/>
                <w:highlight w:val="none"/>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cs="Times New Roman"/>
                <w:sz w:val="20"/>
                <w:szCs w:val="20"/>
                <w:highlight w:val="none"/>
              </w:rPr>
            </w:pPr>
          </w:p>
        </w:tc>
        <w:tc>
          <w:tcPr>
            <w:tcW w:w="1051" w:type="dxa"/>
            <w:vMerge w:val="continue"/>
            <w:tcBorders>
              <w:top w:val="single" w:color="auto" w:sz="4" w:space="0"/>
              <w:left w:val="single" w:color="auto" w:sz="4" w:space="0"/>
              <w:bottom w:val="single" w:color="auto" w:sz="4" w:space="0"/>
              <w:right w:val="single" w:color="auto" w:sz="4" w:space="0"/>
            </w:tcBorders>
            <w:vAlign w:val="center"/>
          </w:tcPr>
          <w:p>
            <w:pPr>
              <w:rPr>
                <w:rFonts w:cs="Times New Roman"/>
                <w:sz w:val="20"/>
                <w:szCs w:val="20"/>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证书名称</w:t>
            </w: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级别</w:t>
            </w: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证号</w:t>
            </w: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专业</w:t>
            </w:r>
          </w:p>
        </w:tc>
        <w:tc>
          <w:tcPr>
            <w:tcW w:w="787" w:type="dxa"/>
            <w:vMerge w:val="continue"/>
            <w:tcBorders>
              <w:top w:val="single" w:color="auto" w:sz="4" w:space="0"/>
              <w:left w:val="single" w:color="auto" w:sz="4" w:space="0"/>
              <w:bottom w:val="single" w:color="auto" w:sz="4" w:space="0"/>
              <w:right w:val="single" w:color="auto" w:sz="4" w:space="0"/>
            </w:tcBorders>
            <w:vAlign w:val="center"/>
          </w:tcPr>
          <w:p>
            <w:pPr>
              <w:rPr>
                <w:rFonts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bl>
    <w:p>
      <w:pPr>
        <w:spacing w:beforeLines="50" w:afterLines="100" w:line="420" w:lineRule="exact"/>
        <w:outlineLvl w:val="0"/>
        <w:rPr>
          <w:rFonts w:ascii="黑体" w:hAnsi="宋体" w:eastAsia="黑体" w:cs="黑体"/>
          <w:sz w:val="24"/>
          <w:highlight w:val="none"/>
        </w:rPr>
      </w:pPr>
      <w:r>
        <w:rPr>
          <w:rFonts w:hint="eastAsia" w:ascii="宋体" w:hAnsi="Calibri" w:eastAsia="宋体" w:cs="Times New Roman"/>
          <w:szCs w:val="21"/>
          <w:highlight w:val="none"/>
        </w:rPr>
        <w:br w:type="page"/>
      </w:r>
      <w:bookmarkStart w:id="616" w:name="_Toc21390"/>
      <w:bookmarkStart w:id="617" w:name="_Toc22263"/>
      <w:bookmarkStart w:id="618" w:name="_Toc448409586"/>
      <w:bookmarkStart w:id="619" w:name="_Toc417408947"/>
      <w:bookmarkStart w:id="620" w:name="_Toc6557"/>
      <w:r>
        <w:rPr>
          <w:rFonts w:hint="eastAsia" w:ascii="黑体" w:hAnsi="宋体" w:eastAsia="黑体" w:cs="黑体"/>
          <w:sz w:val="24"/>
          <w:highlight w:val="none"/>
        </w:rPr>
        <w:t>（二）主要人员简历表</w:t>
      </w:r>
      <w:bookmarkEnd w:id="616"/>
      <w:bookmarkEnd w:id="617"/>
      <w:bookmarkEnd w:id="618"/>
      <w:bookmarkEnd w:id="619"/>
      <w:bookmarkEnd w:id="620"/>
    </w:p>
    <w:p>
      <w:pPr>
        <w:spacing w:line="420" w:lineRule="exact"/>
        <w:rPr>
          <w:rFonts w:ascii="黑体" w:hAnsi="宋体" w:eastAsia="黑体" w:cs="黑体"/>
          <w:szCs w:val="21"/>
          <w:highlight w:val="none"/>
        </w:rPr>
      </w:pPr>
      <w:r>
        <w:rPr>
          <w:rFonts w:hint="eastAsia" w:ascii="黑体" w:hAnsi="宋体" w:eastAsia="黑体" w:cs="黑体"/>
          <w:szCs w:val="21"/>
          <w:highlight w:val="none"/>
        </w:rPr>
        <w:t>附1：项目负责人简历表</w:t>
      </w:r>
    </w:p>
    <w:p>
      <w:pPr>
        <w:spacing w:line="420" w:lineRule="exact"/>
        <w:rPr>
          <w:rFonts w:ascii="宋体" w:hAnsi="Calibri" w:eastAsia="宋体" w:cs="宋体"/>
          <w:szCs w:val="21"/>
          <w:highlight w:val="none"/>
        </w:rPr>
      </w:pPr>
      <w:r>
        <w:rPr>
          <w:rFonts w:hint="eastAsia" w:ascii="宋体" w:hAnsi="宋体" w:eastAsia="宋体" w:cs="宋体"/>
          <w:szCs w:val="21"/>
          <w:highlight w:val="none"/>
        </w:rPr>
        <w:t>项目负责人应附建筑师执业资格证书、注册证书、身份证、职称证、</w:t>
      </w:r>
    </w:p>
    <w:p>
      <w:pPr>
        <w:spacing w:line="420" w:lineRule="exact"/>
        <w:rPr>
          <w:rFonts w:ascii="宋体" w:hAnsi="Calibri" w:eastAsia="宋体" w:cs="宋体"/>
          <w:szCs w:val="21"/>
          <w:highlight w:val="none"/>
        </w:rPr>
      </w:pPr>
      <w:r>
        <w:rPr>
          <w:rFonts w:hint="eastAsia" w:ascii="宋体" w:hAnsi="宋体" w:eastAsia="宋体" w:cs="宋体"/>
          <w:szCs w:val="21"/>
          <w:highlight w:val="none"/>
        </w:rPr>
        <w:t>学历证复印件，管理过的项目业绩须附</w:t>
      </w:r>
      <w:r>
        <w:rPr>
          <w:rFonts w:hint="eastAsia" w:ascii="Calibri" w:hAnsi="Calibri" w:eastAsia="宋体" w:cs="宋体"/>
          <w:highlight w:val="none"/>
        </w:rPr>
        <w:t>合同协议书</w:t>
      </w:r>
      <w:r>
        <w:rPr>
          <w:rFonts w:hint="eastAsia" w:ascii="宋体" w:hAnsi="宋体" w:eastAsia="宋体" w:cs="宋体"/>
          <w:szCs w:val="21"/>
          <w:highlight w:val="none"/>
        </w:rPr>
        <w:t>复印件。类似项目限于以项目负责人身份参与的项目。</w:t>
      </w:r>
    </w:p>
    <w:tbl>
      <w:tblPr>
        <w:tblStyle w:val="19"/>
        <w:tblW w:w="9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187"/>
        <w:gridCol w:w="1302"/>
        <w:gridCol w:w="1463"/>
        <w:gridCol w:w="2115"/>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姓  名</w:t>
            </w:r>
          </w:p>
        </w:tc>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年  龄</w:t>
            </w: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学历</w:t>
            </w: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职  称</w:t>
            </w:r>
          </w:p>
        </w:tc>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职  务</w:t>
            </w: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拟在本工程任职</w:t>
            </w: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7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注册建筑师执业资格等级</w:t>
            </w: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 xml:space="preserve">      级</w:t>
            </w: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建筑师专业</w:t>
            </w: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毕业学校</w:t>
            </w:r>
          </w:p>
        </w:tc>
        <w:tc>
          <w:tcPr>
            <w:tcW w:w="8507" w:type="dxa"/>
            <w:gridSpan w:val="5"/>
            <w:tcBorders>
              <w:top w:val="single" w:color="auto" w:sz="4" w:space="0"/>
              <w:left w:val="single" w:color="auto" w:sz="4" w:space="0"/>
              <w:bottom w:val="single" w:color="auto" w:sz="4" w:space="0"/>
              <w:right w:val="single" w:color="auto" w:sz="4" w:space="0"/>
            </w:tcBorders>
            <w:vAlign w:val="center"/>
          </w:tcPr>
          <w:p>
            <w:pPr>
              <w:ind w:firstLine="840" w:firstLineChars="400"/>
              <w:rPr>
                <w:rFonts w:ascii="宋体" w:hAnsi="Calibri" w:eastAsia="宋体" w:cs="宋体"/>
                <w:szCs w:val="21"/>
                <w:highlight w:val="none"/>
              </w:rPr>
            </w:pPr>
            <w:r>
              <w:rPr>
                <w:rFonts w:hint="eastAsia" w:ascii="宋体" w:hAnsi="宋体" w:eastAsia="宋体" w:cs="宋体"/>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76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时  间</w:t>
            </w:r>
          </w:p>
        </w:tc>
        <w:tc>
          <w:tcPr>
            <w:tcW w:w="395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参加过的类似项目名称</w:t>
            </w: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工程概况说明</w:t>
            </w: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r>
              <w:rPr>
                <w:rFonts w:hint="eastAsia" w:ascii="宋体" w:hAnsi="宋体" w:eastAsia="宋体" w:cs="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Cs w:val="21"/>
                <w:highlight w:val="none"/>
              </w:rPr>
            </w:pPr>
          </w:p>
        </w:tc>
      </w:tr>
    </w:tbl>
    <w:p>
      <w:pPr>
        <w:spacing w:line="420" w:lineRule="exact"/>
        <w:rPr>
          <w:rFonts w:ascii="宋体" w:hAnsi="Calibri" w:eastAsia="宋体" w:cs="宋体"/>
          <w:szCs w:val="21"/>
          <w:highlight w:val="none"/>
        </w:rPr>
      </w:pPr>
    </w:p>
    <w:p>
      <w:pPr>
        <w:spacing w:line="420" w:lineRule="exact"/>
        <w:rPr>
          <w:rFonts w:ascii="黑体" w:hAnsi="宋体" w:eastAsia="黑体" w:cs="黑体"/>
          <w:szCs w:val="21"/>
          <w:highlight w:val="none"/>
        </w:rPr>
      </w:pPr>
      <w:r>
        <w:rPr>
          <w:rFonts w:hint="eastAsia" w:ascii="宋体" w:hAnsi="Calibri" w:eastAsia="宋体" w:cs="Times New Roman"/>
          <w:szCs w:val="21"/>
          <w:highlight w:val="none"/>
        </w:rPr>
        <w:br w:type="page"/>
      </w:r>
      <w:r>
        <w:rPr>
          <w:rFonts w:hint="eastAsia" w:ascii="黑体" w:hAnsi="宋体" w:eastAsia="黑体" w:cs="黑体"/>
          <w:szCs w:val="21"/>
          <w:highlight w:val="none"/>
        </w:rPr>
        <w:t>附2：主要项目管理人员简历表</w:t>
      </w:r>
    </w:p>
    <w:p>
      <w:pPr>
        <w:spacing w:line="420" w:lineRule="exact"/>
        <w:rPr>
          <w:rFonts w:ascii="宋体" w:hAnsi="Calibri" w:eastAsia="宋体" w:cs="宋体"/>
          <w:szCs w:val="21"/>
          <w:highlight w:val="none"/>
        </w:rPr>
      </w:pPr>
      <w:r>
        <w:rPr>
          <w:rFonts w:hint="eastAsia" w:ascii="宋体" w:hAnsi="宋体" w:eastAsia="宋体" w:cs="宋体"/>
          <w:szCs w:val="21"/>
          <w:highlight w:val="none"/>
        </w:rPr>
        <w:t>主要项目管理人员指项目副经理、技术负责人、合同商务负责人、专职安全生产管理人员等</w:t>
      </w:r>
    </w:p>
    <w:p>
      <w:pPr>
        <w:spacing w:line="420" w:lineRule="exact"/>
        <w:rPr>
          <w:rFonts w:ascii="宋体" w:hAnsi="Calibri" w:eastAsia="宋体" w:cs="宋体"/>
          <w:szCs w:val="21"/>
          <w:highlight w:val="none"/>
        </w:rPr>
      </w:pPr>
      <w:r>
        <w:rPr>
          <w:rFonts w:hint="eastAsia" w:ascii="宋体" w:hAnsi="宋体" w:eastAsia="宋体" w:cs="宋体"/>
          <w:szCs w:val="21"/>
          <w:highlight w:val="none"/>
        </w:rPr>
        <w:t>岗位人员。应附注册资格证书、身份证、职称证、学历证复印件，专职安全生产管理人员应附安全生产考核合格证书复印件，主要业绩须附</w:t>
      </w:r>
      <w:r>
        <w:rPr>
          <w:rFonts w:hint="eastAsia" w:ascii="Calibri" w:hAnsi="Calibri" w:eastAsia="宋体" w:cs="宋体"/>
          <w:highlight w:val="none"/>
        </w:rPr>
        <w:t>合同协议书</w:t>
      </w:r>
      <w:r>
        <w:rPr>
          <w:rFonts w:hint="eastAsia" w:ascii="宋体" w:hAnsi="宋体" w:eastAsia="宋体" w:cs="宋体"/>
          <w:szCs w:val="21"/>
          <w:highlight w:val="none"/>
        </w:rPr>
        <w:t>复印件。</w:t>
      </w:r>
    </w:p>
    <w:tbl>
      <w:tblPr>
        <w:tblStyle w:val="19"/>
        <w:tblW w:w="9480" w:type="dxa"/>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712"/>
        <w:gridCol w:w="2578"/>
        <w:gridCol w:w="1297"/>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9480" w:type="dxa"/>
            <w:gridSpan w:val="5"/>
            <w:tcBorders>
              <w:top w:val="single" w:color="auto" w:sz="4" w:space="0"/>
              <w:left w:val="single" w:color="auto" w:sz="4" w:space="0"/>
              <w:bottom w:val="single" w:color="auto" w:sz="4" w:space="0"/>
              <w:right w:val="single" w:color="auto" w:sz="4" w:space="0"/>
            </w:tcBorders>
          </w:tcPr>
          <w:p>
            <w:pPr>
              <w:spacing w:line="640" w:lineRule="exact"/>
              <w:ind w:firstLine="630" w:firstLineChars="300"/>
              <w:rPr>
                <w:rFonts w:ascii="宋体" w:hAnsi="Calibri" w:eastAsia="宋体" w:cs="宋体"/>
                <w:szCs w:val="21"/>
                <w:highlight w:val="none"/>
              </w:rPr>
            </w:pPr>
            <w:r>
              <w:rPr>
                <w:rFonts w:hint="eastAsia" w:ascii="宋体" w:hAnsi="宋体" w:eastAsia="宋体" w:cs="宋体"/>
                <w:szCs w:val="21"/>
                <w:highlight w:val="none"/>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2906" w:type="dxa"/>
            <w:gridSpan w:val="2"/>
            <w:tcBorders>
              <w:top w:val="single" w:color="auto" w:sz="4" w:space="0"/>
              <w:left w:val="single" w:color="auto" w:sz="4" w:space="0"/>
              <w:bottom w:val="single" w:color="auto" w:sz="4" w:space="0"/>
              <w:right w:val="single" w:color="auto" w:sz="4" w:space="0"/>
            </w:tcBorders>
          </w:tcPr>
          <w:p>
            <w:pPr>
              <w:spacing w:line="640" w:lineRule="exact"/>
              <w:ind w:firstLine="630" w:firstLineChars="300"/>
              <w:rPr>
                <w:rFonts w:ascii="宋体" w:hAnsi="Calibri" w:eastAsia="宋体" w:cs="宋体"/>
                <w:szCs w:val="21"/>
                <w:highlight w:val="none"/>
              </w:rPr>
            </w:pPr>
            <w:r>
              <w:rPr>
                <w:rFonts w:hint="eastAsia" w:ascii="宋体" w:hAnsi="宋体" w:eastAsia="宋体" w:cs="宋体"/>
                <w:szCs w:val="21"/>
                <w:highlight w:val="none"/>
              </w:rPr>
              <w:t>姓    名</w:t>
            </w:r>
          </w:p>
        </w:tc>
        <w:tc>
          <w:tcPr>
            <w:tcW w:w="2578" w:type="dxa"/>
            <w:tcBorders>
              <w:top w:val="single" w:color="auto" w:sz="4" w:space="0"/>
              <w:left w:val="single" w:color="auto" w:sz="4" w:space="0"/>
              <w:bottom w:val="single" w:color="auto" w:sz="4" w:space="0"/>
              <w:right w:val="single" w:color="auto" w:sz="4" w:space="0"/>
            </w:tcBorders>
          </w:tcPr>
          <w:p>
            <w:pPr>
              <w:spacing w:line="640" w:lineRule="exact"/>
              <w:rPr>
                <w:rFonts w:ascii="宋体" w:hAnsi="Calibri" w:eastAsia="宋体" w:cs="宋体"/>
                <w:szCs w:val="21"/>
                <w:highlight w:val="none"/>
              </w:rPr>
            </w:pPr>
          </w:p>
        </w:tc>
        <w:tc>
          <w:tcPr>
            <w:tcW w:w="1297" w:type="dxa"/>
            <w:tcBorders>
              <w:top w:val="single" w:color="auto" w:sz="4" w:space="0"/>
              <w:left w:val="single" w:color="auto" w:sz="4" w:space="0"/>
              <w:bottom w:val="single" w:color="auto" w:sz="4" w:space="0"/>
              <w:right w:val="single" w:color="auto" w:sz="4" w:space="0"/>
            </w:tcBorders>
          </w:tcPr>
          <w:p>
            <w:pPr>
              <w:spacing w:line="640" w:lineRule="exact"/>
              <w:ind w:left="57"/>
              <w:rPr>
                <w:rFonts w:ascii="宋体" w:hAnsi="Calibri" w:eastAsia="宋体" w:cs="宋体"/>
                <w:szCs w:val="21"/>
                <w:highlight w:val="none"/>
              </w:rPr>
            </w:pPr>
            <w:r>
              <w:rPr>
                <w:rFonts w:hint="eastAsia" w:ascii="宋体" w:hAnsi="宋体" w:eastAsia="宋体" w:cs="宋体"/>
                <w:szCs w:val="21"/>
                <w:highlight w:val="none"/>
              </w:rPr>
              <w:t>年    龄</w:t>
            </w:r>
          </w:p>
        </w:tc>
        <w:tc>
          <w:tcPr>
            <w:tcW w:w="2699" w:type="dxa"/>
            <w:tcBorders>
              <w:top w:val="single" w:color="auto" w:sz="4" w:space="0"/>
              <w:left w:val="single" w:color="auto" w:sz="4" w:space="0"/>
              <w:bottom w:val="single" w:color="auto" w:sz="4" w:space="0"/>
              <w:right w:val="single" w:color="auto" w:sz="4" w:space="0"/>
            </w:tcBorders>
          </w:tcPr>
          <w:p>
            <w:pPr>
              <w:spacing w:line="640" w:lineRule="exact"/>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2906" w:type="dxa"/>
            <w:gridSpan w:val="2"/>
            <w:tcBorders>
              <w:top w:val="single" w:color="auto" w:sz="4" w:space="0"/>
              <w:left w:val="single" w:color="auto" w:sz="4" w:space="0"/>
              <w:bottom w:val="single" w:color="auto" w:sz="4" w:space="0"/>
              <w:right w:val="single" w:color="auto" w:sz="4" w:space="0"/>
            </w:tcBorders>
          </w:tcPr>
          <w:p>
            <w:pPr>
              <w:spacing w:line="640" w:lineRule="exact"/>
              <w:ind w:firstLine="630" w:firstLineChars="300"/>
              <w:rPr>
                <w:rFonts w:ascii="宋体" w:hAnsi="Calibri" w:eastAsia="宋体" w:cs="宋体"/>
                <w:szCs w:val="21"/>
                <w:highlight w:val="none"/>
              </w:rPr>
            </w:pPr>
            <w:r>
              <w:rPr>
                <w:rFonts w:hint="eastAsia" w:ascii="宋体" w:hAnsi="宋体" w:eastAsia="宋体" w:cs="宋体"/>
                <w:szCs w:val="21"/>
                <w:highlight w:val="none"/>
              </w:rPr>
              <w:t>性    别</w:t>
            </w:r>
          </w:p>
        </w:tc>
        <w:tc>
          <w:tcPr>
            <w:tcW w:w="2578" w:type="dxa"/>
            <w:tcBorders>
              <w:top w:val="single" w:color="auto" w:sz="4" w:space="0"/>
              <w:left w:val="single" w:color="auto" w:sz="4" w:space="0"/>
              <w:bottom w:val="single" w:color="auto" w:sz="4" w:space="0"/>
              <w:right w:val="single" w:color="auto" w:sz="4" w:space="0"/>
            </w:tcBorders>
          </w:tcPr>
          <w:p>
            <w:pPr>
              <w:spacing w:line="640" w:lineRule="exact"/>
              <w:rPr>
                <w:rFonts w:ascii="宋体" w:hAnsi="Calibri" w:eastAsia="宋体" w:cs="宋体"/>
                <w:szCs w:val="21"/>
                <w:highlight w:val="none"/>
              </w:rPr>
            </w:pPr>
          </w:p>
        </w:tc>
        <w:tc>
          <w:tcPr>
            <w:tcW w:w="1297" w:type="dxa"/>
            <w:tcBorders>
              <w:top w:val="single" w:color="auto" w:sz="4" w:space="0"/>
              <w:left w:val="single" w:color="auto" w:sz="4" w:space="0"/>
              <w:bottom w:val="single" w:color="auto" w:sz="4" w:space="0"/>
              <w:right w:val="single" w:color="auto" w:sz="4" w:space="0"/>
            </w:tcBorders>
          </w:tcPr>
          <w:p>
            <w:pPr>
              <w:spacing w:line="640" w:lineRule="exact"/>
              <w:ind w:left="57"/>
              <w:rPr>
                <w:rFonts w:ascii="宋体" w:hAnsi="Calibri" w:eastAsia="宋体" w:cs="宋体"/>
                <w:szCs w:val="21"/>
                <w:highlight w:val="none"/>
              </w:rPr>
            </w:pPr>
            <w:r>
              <w:rPr>
                <w:rFonts w:hint="eastAsia" w:ascii="宋体" w:hAnsi="宋体" w:eastAsia="宋体" w:cs="宋体"/>
                <w:szCs w:val="21"/>
                <w:highlight w:val="none"/>
              </w:rPr>
              <w:t>毕业学校</w:t>
            </w:r>
          </w:p>
        </w:tc>
        <w:tc>
          <w:tcPr>
            <w:tcW w:w="2699" w:type="dxa"/>
            <w:tcBorders>
              <w:top w:val="single" w:color="auto" w:sz="4" w:space="0"/>
              <w:left w:val="single" w:color="auto" w:sz="4" w:space="0"/>
              <w:bottom w:val="single" w:color="auto" w:sz="4" w:space="0"/>
              <w:right w:val="single" w:color="auto" w:sz="4" w:space="0"/>
            </w:tcBorders>
          </w:tcPr>
          <w:p>
            <w:pPr>
              <w:spacing w:line="640" w:lineRule="exact"/>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2906" w:type="dxa"/>
            <w:gridSpan w:val="2"/>
            <w:tcBorders>
              <w:top w:val="single" w:color="auto" w:sz="4" w:space="0"/>
              <w:left w:val="single" w:color="auto" w:sz="4" w:space="0"/>
              <w:bottom w:val="single" w:color="auto" w:sz="4" w:space="0"/>
              <w:right w:val="single" w:color="auto" w:sz="4" w:space="0"/>
            </w:tcBorders>
          </w:tcPr>
          <w:p>
            <w:pPr>
              <w:spacing w:line="640" w:lineRule="exact"/>
              <w:ind w:firstLine="630" w:firstLineChars="300"/>
              <w:rPr>
                <w:rFonts w:ascii="宋体" w:hAnsi="Calibri" w:eastAsia="宋体" w:cs="宋体"/>
                <w:szCs w:val="21"/>
                <w:highlight w:val="none"/>
              </w:rPr>
            </w:pPr>
            <w:r>
              <w:rPr>
                <w:rFonts w:hint="eastAsia" w:ascii="宋体" w:hAnsi="宋体" w:eastAsia="宋体" w:cs="宋体"/>
                <w:szCs w:val="21"/>
                <w:highlight w:val="none"/>
              </w:rPr>
              <w:t>学历和专业</w:t>
            </w:r>
          </w:p>
        </w:tc>
        <w:tc>
          <w:tcPr>
            <w:tcW w:w="2578" w:type="dxa"/>
            <w:tcBorders>
              <w:top w:val="single" w:color="auto" w:sz="4" w:space="0"/>
              <w:left w:val="single" w:color="auto" w:sz="4" w:space="0"/>
              <w:bottom w:val="single" w:color="auto" w:sz="4" w:space="0"/>
              <w:right w:val="single" w:color="auto" w:sz="4" w:space="0"/>
            </w:tcBorders>
          </w:tcPr>
          <w:p>
            <w:pPr>
              <w:spacing w:line="640" w:lineRule="exact"/>
              <w:rPr>
                <w:rFonts w:ascii="宋体" w:hAnsi="Calibri" w:eastAsia="宋体" w:cs="宋体"/>
                <w:szCs w:val="21"/>
                <w:highlight w:val="none"/>
              </w:rPr>
            </w:pPr>
          </w:p>
        </w:tc>
        <w:tc>
          <w:tcPr>
            <w:tcW w:w="1297" w:type="dxa"/>
            <w:tcBorders>
              <w:top w:val="single" w:color="auto" w:sz="4" w:space="0"/>
              <w:left w:val="single" w:color="auto" w:sz="4" w:space="0"/>
              <w:bottom w:val="single" w:color="auto" w:sz="4" w:space="0"/>
              <w:right w:val="single" w:color="auto" w:sz="4" w:space="0"/>
            </w:tcBorders>
          </w:tcPr>
          <w:p>
            <w:pPr>
              <w:spacing w:line="640" w:lineRule="exact"/>
              <w:ind w:left="57"/>
              <w:rPr>
                <w:rFonts w:ascii="宋体" w:hAnsi="Calibri" w:eastAsia="宋体" w:cs="宋体"/>
                <w:szCs w:val="21"/>
                <w:highlight w:val="none"/>
              </w:rPr>
            </w:pPr>
            <w:r>
              <w:rPr>
                <w:rFonts w:hint="eastAsia" w:ascii="宋体" w:hAnsi="宋体" w:eastAsia="宋体" w:cs="宋体"/>
                <w:szCs w:val="21"/>
                <w:highlight w:val="none"/>
              </w:rPr>
              <w:t>毕业时间</w:t>
            </w:r>
          </w:p>
        </w:tc>
        <w:tc>
          <w:tcPr>
            <w:tcW w:w="2699" w:type="dxa"/>
            <w:tcBorders>
              <w:top w:val="single" w:color="auto" w:sz="4" w:space="0"/>
              <w:left w:val="single" w:color="auto" w:sz="4" w:space="0"/>
              <w:bottom w:val="single" w:color="auto" w:sz="4" w:space="0"/>
              <w:right w:val="single" w:color="auto" w:sz="4" w:space="0"/>
            </w:tcBorders>
          </w:tcPr>
          <w:p>
            <w:pPr>
              <w:spacing w:line="640" w:lineRule="exact"/>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2906" w:type="dxa"/>
            <w:gridSpan w:val="2"/>
            <w:tcBorders>
              <w:top w:val="single" w:color="auto" w:sz="4" w:space="0"/>
              <w:left w:val="single" w:color="auto" w:sz="4" w:space="0"/>
              <w:bottom w:val="single" w:color="auto" w:sz="4" w:space="0"/>
              <w:right w:val="single" w:color="auto" w:sz="4" w:space="0"/>
            </w:tcBorders>
          </w:tcPr>
          <w:p>
            <w:pPr>
              <w:spacing w:line="640" w:lineRule="exact"/>
              <w:ind w:firstLine="420" w:firstLineChars="200"/>
              <w:rPr>
                <w:rFonts w:ascii="宋体" w:hAnsi="Calibri" w:eastAsia="宋体" w:cs="宋体"/>
                <w:szCs w:val="21"/>
                <w:highlight w:val="none"/>
              </w:rPr>
            </w:pPr>
            <w:r>
              <w:rPr>
                <w:rFonts w:hint="eastAsia" w:ascii="宋体" w:hAnsi="宋体" w:eastAsia="宋体" w:cs="宋体"/>
                <w:szCs w:val="21"/>
                <w:highlight w:val="none"/>
              </w:rPr>
              <w:t>拥有的执业资格</w:t>
            </w:r>
          </w:p>
        </w:tc>
        <w:tc>
          <w:tcPr>
            <w:tcW w:w="2578" w:type="dxa"/>
            <w:tcBorders>
              <w:top w:val="single" w:color="auto" w:sz="4" w:space="0"/>
              <w:left w:val="single" w:color="auto" w:sz="4" w:space="0"/>
              <w:bottom w:val="single" w:color="auto" w:sz="4" w:space="0"/>
              <w:right w:val="single" w:color="auto" w:sz="4" w:space="0"/>
            </w:tcBorders>
          </w:tcPr>
          <w:p>
            <w:pPr>
              <w:spacing w:line="640" w:lineRule="exact"/>
              <w:rPr>
                <w:rFonts w:ascii="宋体" w:hAnsi="Calibri" w:eastAsia="宋体" w:cs="宋体"/>
                <w:szCs w:val="21"/>
                <w:highlight w:val="none"/>
              </w:rPr>
            </w:pPr>
          </w:p>
        </w:tc>
        <w:tc>
          <w:tcPr>
            <w:tcW w:w="1297" w:type="dxa"/>
            <w:tcBorders>
              <w:top w:val="single" w:color="auto" w:sz="4" w:space="0"/>
              <w:left w:val="single" w:color="auto" w:sz="4" w:space="0"/>
              <w:bottom w:val="single" w:color="auto" w:sz="4" w:space="0"/>
              <w:right w:val="single" w:color="auto" w:sz="4" w:space="0"/>
            </w:tcBorders>
          </w:tcPr>
          <w:p>
            <w:pPr>
              <w:spacing w:line="640" w:lineRule="exact"/>
              <w:ind w:left="57"/>
              <w:rPr>
                <w:rFonts w:ascii="宋体" w:hAnsi="Calibri" w:eastAsia="宋体" w:cs="宋体"/>
                <w:szCs w:val="21"/>
                <w:highlight w:val="none"/>
              </w:rPr>
            </w:pPr>
            <w:r>
              <w:rPr>
                <w:rFonts w:hint="eastAsia" w:ascii="宋体" w:hAnsi="宋体" w:eastAsia="宋体" w:cs="宋体"/>
                <w:szCs w:val="21"/>
                <w:highlight w:val="none"/>
              </w:rPr>
              <w:t>专业职称</w:t>
            </w:r>
          </w:p>
        </w:tc>
        <w:tc>
          <w:tcPr>
            <w:tcW w:w="2699" w:type="dxa"/>
            <w:tcBorders>
              <w:top w:val="single" w:color="auto" w:sz="4" w:space="0"/>
              <w:left w:val="single" w:color="auto" w:sz="4" w:space="0"/>
              <w:bottom w:val="single" w:color="auto" w:sz="4" w:space="0"/>
              <w:right w:val="single" w:color="auto" w:sz="4" w:space="0"/>
            </w:tcBorders>
          </w:tcPr>
          <w:p>
            <w:pPr>
              <w:spacing w:line="640" w:lineRule="exact"/>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2906" w:type="dxa"/>
            <w:gridSpan w:val="2"/>
            <w:tcBorders>
              <w:top w:val="single" w:color="auto" w:sz="4" w:space="0"/>
              <w:left w:val="single" w:color="auto" w:sz="4" w:space="0"/>
              <w:bottom w:val="single" w:color="auto" w:sz="4" w:space="0"/>
              <w:right w:val="single" w:color="auto" w:sz="4" w:space="0"/>
            </w:tcBorders>
          </w:tcPr>
          <w:p>
            <w:pPr>
              <w:spacing w:line="640" w:lineRule="exact"/>
              <w:ind w:firstLine="315" w:firstLineChars="150"/>
              <w:rPr>
                <w:rFonts w:ascii="宋体" w:hAnsi="Calibri" w:eastAsia="宋体" w:cs="宋体"/>
                <w:szCs w:val="21"/>
                <w:highlight w:val="none"/>
              </w:rPr>
            </w:pPr>
            <w:r>
              <w:rPr>
                <w:rFonts w:hint="eastAsia" w:ascii="宋体" w:hAnsi="宋体" w:eastAsia="宋体" w:cs="宋体"/>
                <w:szCs w:val="21"/>
                <w:highlight w:val="none"/>
              </w:rPr>
              <w:t>执业资格证书编号</w:t>
            </w:r>
          </w:p>
        </w:tc>
        <w:tc>
          <w:tcPr>
            <w:tcW w:w="2578" w:type="dxa"/>
            <w:tcBorders>
              <w:top w:val="single" w:color="auto" w:sz="4" w:space="0"/>
              <w:left w:val="single" w:color="auto" w:sz="4" w:space="0"/>
              <w:bottom w:val="single" w:color="auto" w:sz="4" w:space="0"/>
              <w:right w:val="single" w:color="auto" w:sz="4" w:space="0"/>
            </w:tcBorders>
          </w:tcPr>
          <w:p>
            <w:pPr>
              <w:spacing w:line="640" w:lineRule="exact"/>
              <w:rPr>
                <w:rFonts w:ascii="宋体" w:hAnsi="Calibri" w:eastAsia="宋体" w:cs="宋体"/>
                <w:szCs w:val="21"/>
                <w:highlight w:val="none"/>
              </w:rPr>
            </w:pPr>
          </w:p>
        </w:tc>
        <w:tc>
          <w:tcPr>
            <w:tcW w:w="1297" w:type="dxa"/>
            <w:tcBorders>
              <w:top w:val="single" w:color="auto" w:sz="4" w:space="0"/>
              <w:left w:val="single" w:color="auto" w:sz="4" w:space="0"/>
              <w:bottom w:val="single" w:color="auto" w:sz="4" w:space="0"/>
              <w:right w:val="single" w:color="auto" w:sz="4" w:space="0"/>
            </w:tcBorders>
          </w:tcPr>
          <w:p>
            <w:pPr>
              <w:spacing w:line="640" w:lineRule="exact"/>
              <w:ind w:left="57"/>
              <w:rPr>
                <w:rFonts w:ascii="宋体" w:hAnsi="Calibri" w:eastAsia="宋体" w:cs="宋体"/>
                <w:szCs w:val="21"/>
                <w:highlight w:val="none"/>
              </w:rPr>
            </w:pPr>
            <w:r>
              <w:rPr>
                <w:rFonts w:hint="eastAsia" w:ascii="宋体" w:hAnsi="宋体" w:eastAsia="宋体" w:cs="宋体"/>
                <w:szCs w:val="21"/>
                <w:highlight w:val="none"/>
              </w:rPr>
              <w:t>工作年限</w:t>
            </w:r>
          </w:p>
        </w:tc>
        <w:tc>
          <w:tcPr>
            <w:tcW w:w="2699" w:type="dxa"/>
            <w:tcBorders>
              <w:top w:val="single" w:color="auto" w:sz="4" w:space="0"/>
              <w:left w:val="single" w:color="auto" w:sz="4" w:space="0"/>
              <w:bottom w:val="single" w:color="auto" w:sz="4" w:space="0"/>
              <w:right w:val="single" w:color="auto" w:sz="4" w:space="0"/>
            </w:tcBorders>
          </w:tcPr>
          <w:p>
            <w:pPr>
              <w:spacing w:line="640" w:lineRule="exact"/>
              <w:rPr>
                <w:rFonts w:ascii="宋体" w:hAnsi="Calibri"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2" w:hRule="atLeast"/>
        </w:trPr>
        <w:tc>
          <w:tcPr>
            <w:tcW w:w="11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Calibri" w:eastAsia="宋体" w:cs="宋体"/>
                <w:szCs w:val="21"/>
                <w:highlight w:val="none"/>
              </w:rPr>
            </w:pPr>
            <w:r>
              <w:rPr>
                <w:rFonts w:hint="eastAsia" w:ascii="宋体" w:hAnsi="宋体" w:eastAsia="宋体" w:cs="宋体"/>
                <w:szCs w:val="21"/>
                <w:highlight w:val="none"/>
              </w:rPr>
              <w:t>主</w:t>
            </w:r>
          </w:p>
          <w:p>
            <w:pPr>
              <w:spacing w:line="400" w:lineRule="exact"/>
              <w:jc w:val="center"/>
              <w:rPr>
                <w:rFonts w:ascii="宋体" w:hAnsi="Calibri" w:eastAsia="宋体" w:cs="宋体"/>
                <w:szCs w:val="21"/>
                <w:highlight w:val="none"/>
              </w:rPr>
            </w:pPr>
            <w:r>
              <w:rPr>
                <w:rFonts w:hint="eastAsia" w:ascii="宋体" w:hAnsi="宋体" w:eastAsia="宋体" w:cs="宋体"/>
                <w:szCs w:val="21"/>
                <w:highlight w:val="none"/>
              </w:rPr>
              <w:t>要</w:t>
            </w:r>
          </w:p>
          <w:p>
            <w:pPr>
              <w:spacing w:line="400" w:lineRule="exact"/>
              <w:jc w:val="center"/>
              <w:rPr>
                <w:rFonts w:ascii="宋体" w:hAnsi="Calibri" w:eastAsia="宋体" w:cs="宋体"/>
                <w:szCs w:val="21"/>
                <w:highlight w:val="none"/>
              </w:rPr>
            </w:pPr>
            <w:r>
              <w:rPr>
                <w:rFonts w:hint="eastAsia" w:ascii="宋体" w:hAnsi="宋体" w:eastAsia="宋体" w:cs="宋体"/>
                <w:szCs w:val="21"/>
                <w:highlight w:val="none"/>
              </w:rPr>
              <w:t>工</w:t>
            </w:r>
          </w:p>
          <w:p>
            <w:pPr>
              <w:spacing w:line="400" w:lineRule="exact"/>
              <w:jc w:val="center"/>
              <w:rPr>
                <w:rFonts w:ascii="宋体" w:hAnsi="Calibri" w:eastAsia="宋体" w:cs="宋体"/>
                <w:szCs w:val="21"/>
                <w:highlight w:val="none"/>
              </w:rPr>
            </w:pPr>
            <w:r>
              <w:rPr>
                <w:rFonts w:hint="eastAsia" w:ascii="宋体" w:hAnsi="宋体" w:eastAsia="宋体" w:cs="宋体"/>
                <w:szCs w:val="21"/>
                <w:highlight w:val="none"/>
              </w:rPr>
              <w:t>作</w:t>
            </w:r>
          </w:p>
          <w:p>
            <w:pPr>
              <w:spacing w:line="400" w:lineRule="exact"/>
              <w:jc w:val="center"/>
              <w:rPr>
                <w:rFonts w:ascii="宋体" w:hAnsi="Calibri" w:eastAsia="宋体" w:cs="宋体"/>
                <w:szCs w:val="21"/>
                <w:highlight w:val="none"/>
              </w:rPr>
            </w:pPr>
            <w:r>
              <w:rPr>
                <w:rFonts w:hint="eastAsia" w:ascii="宋体" w:hAnsi="宋体" w:eastAsia="宋体" w:cs="宋体"/>
                <w:szCs w:val="21"/>
                <w:highlight w:val="none"/>
              </w:rPr>
              <w:t>业</w:t>
            </w:r>
          </w:p>
          <w:p>
            <w:pPr>
              <w:spacing w:line="400" w:lineRule="exact"/>
              <w:jc w:val="center"/>
              <w:rPr>
                <w:rFonts w:ascii="宋体" w:hAnsi="Calibri" w:eastAsia="宋体" w:cs="宋体"/>
                <w:szCs w:val="21"/>
                <w:highlight w:val="none"/>
              </w:rPr>
            </w:pPr>
            <w:r>
              <w:rPr>
                <w:rFonts w:hint="eastAsia" w:ascii="宋体" w:hAnsi="宋体" w:eastAsia="宋体" w:cs="宋体"/>
                <w:szCs w:val="21"/>
                <w:highlight w:val="none"/>
              </w:rPr>
              <w:t>绩</w:t>
            </w:r>
          </w:p>
          <w:p>
            <w:pPr>
              <w:spacing w:line="400" w:lineRule="exact"/>
              <w:jc w:val="center"/>
              <w:rPr>
                <w:rFonts w:ascii="宋体" w:hAnsi="Calibri" w:eastAsia="宋体" w:cs="宋体"/>
                <w:szCs w:val="21"/>
                <w:highlight w:val="none"/>
              </w:rPr>
            </w:pPr>
            <w:r>
              <w:rPr>
                <w:rFonts w:hint="eastAsia" w:ascii="宋体" w:hAnsi="宋体" w:eastAsia="宋体" w:cs="宋体"/>
                <w:szCs w:val="21"/>
                <w:highlight w:val="none"/>
              </w:rPr>
              <w:t>及</w:t>
            </w:r>
          </w:p>
          <w:p>
            <w:pPr>
              <w:spacing w:line="400" w:lineRule="exact"/>
              <w:jc w:val="center"/>
              <w:rPr>
                <w:rFonts w:ascii="宋体" w:hAnsi="Calibri" w:eastAsia="宋体" w:cs="宋体"/>
                <w:szCs w:val="21"/>
                <w:highlight w:val="none"/>
              </w:rPr>
            </w:pPr>
            <w:r>
              <w:rPr>
                <w:rFonts w:hint="eastAsia" w:ascii="宋体" w:hAnsi="宋体" w:eastAsia="宋体" w:cs="宋体"/>
                <w:szCs w:val="21"/>
                <w:highlight w:val="none"/>
              </w:rPr>
              <w:t>担</w:t>
            </w:r>
          </w:p>
          <w:p>
            <w:pPr>
              <w:spacing w:line="400" w:lineRule="exact"/>
              <w:jc w:val="center"/>
              <w:rPr>
                <w:rFonts w:ascii="宋体" w:hAnsi="Calibri" w:eastAsia="宋体" w:cs="宋体"/>
                <w:szCs w:val="21"/>
                <w:highlight w:val="none"/>
              </w:rPr>
            </w:pPr>
            <w:r>
              <w:rPr>
                <w:rFonts w:hint="eastAsia" w:ascii="宋体" w:hAnsi="宋体" w:eastAsia="宋体" w:cs="宋体"/>
                <w:szCs w:val="21"/>
                <w:highlight w:val="none"/>
              </w:rPr>
              <w:t>任</w:t>
            </w:r>
          </w:p>
          <w:p>
            <w:pPr>
              <w:spacing w:line="400" w:lineRule="exact"/>
              <w:jc w:val="center"/>
              <w:rPr>
                <w:rFonts w:ascii="宋体" w:hAnsi="Calibri" w:eastAsia="宋体" w:cs="宋体"/>
                <w:szCs w:val="21"/>
                <w:highlight w:val="none"/>
              </w:rPr>
            </w:pPr>
            <w:r>
              <w:rPr>
                <w:rFonts w:hint="eastAsia" w:ascii="宋体" w:hAnsi="宋体" w:eastAsia="宋体" w:cs="宋体"/>
                <w:szCs w:val="21"/>
                <w:highlight w:val="none"/>
              </w:rPr>
              <w:t>的</w:t>
            </w:r>
          </w:p>
          <w:p>
            <w:pPr>
              <w:spacing w:line="400" w:lineRule="exact"/>
              <w:jc w:val="center"/>
              <w:rPr>
                <w:rFonts w:ascii="宋体" w:hAnsi="Calibri" w:eastAsia="宋体" w:cs="宋体"/>
                <w:szCs w:val="21"/>
                <w:highlight w:val="none"/>
              </w:rPr>
            </w:pPr>
            <w:r>
              <w:rPr>
                <w:rFonts w:hint="eastAsia" w:ascii="宋体" w:hAnsi="宋体" w:eastAsia="宋体" w:cs="宋体"/>
                <w:szCs w:val="21"/>
                <w:highlight w:val="none"/>
              </w:rPr>
              <w:t>主</w:t>
            </w:r>
          </w:p>
          <w:p>
            <w:pPr>
              <w:spacing w:line="400" w:lineRule="exact"/>
              <w:jc w:val="center"/>
              <w:rPr>
                <w:rFonts w:ascii="宋体" w:hAnsi="Calibri" w:eastAsia="宋体" w:cs="宋体"/>
                <w:szCs w:val="21"/>
                <w:highlight w:val="none"/>
              </w:rPr>
            </w:pPr>
            <w:r>
              <w:rPr>
                <w:rFonts w:hint="eastAsia" w:ascii="宋体" w:hAnsi="宋体" w:eastAsia="宋体" w:cs="宋体"/>
                <w:szCs w:val="21"/>
                <w:highlight w:val="none"/>
              </w:rPr>
              <w:t>要</w:t>
            </w:r>
          </w:p>
          <w:p>
            <w:pPr>
              <w:spacing w:line="400" w:lineRule="exact"/>
              <w:jc w:val="center"/>
              <w:rPr>
                <w:rFonts w:ascii="宋体" w:hAnsi="Calibri" w:eastAsia="宋体" w:cs="宋体"/>
                <w:szCs w:val="21"/>
                <w:highlight w:val="none"/>
              </w:rPr>
            </w:pPr>
            <w:r>
              <w:rPr>
                <w:rFonts w:hint="eastAsia" w:ascii="宋体" w:hAnsi="宋体" w:eastAsia="宋体" w:cs="宋体"/>
                <w:szCs w:val="21"/>
                <w:highlight w:val="none"/>
              </w:rPr>
              <w:t>工</w:t>
            </w:r>
          </w:p>
          <w:p>
            <w:pPr>
              <w:spacing w:line="400" w:lineRule="exact"/>
              <w:jc w:val="center"/>
              <w:rPr>
                <w:rFonts w:ascii="宋体" w:hAnsi="Calibri" w:eastAsia="宋体" w:cs="宋体"/>
                <w:szCs w:val="21"/>
                <w:highlight w:val="none"/>
              </w:rPr>
            </w:pPr>
            <w:r>
              <w:rPr>
                <w:rFonts w:hint="eastAsia" w:ascii="宋体" w:hAnsi="宋体" w:eastAsia="宋体" w:cs="宋体"/>
                <w:szCs w:val="21"/>
                <w:highlight w:val="none"/>
              </w:rPr>
              <w:t>作</w:t>
            </w:r>
          </w:p>
          <w:p>
            <w:pPr>
              <w:spacing w:line="400" w:lineRule="exact"/>
              <w:jc w:val="center"/>
              <w:rPr>
                <w:rFonts w:ascii="宋体" w:hAnsi="Calibri" w:eastAsia="宋体" w:cs="宋体"/>
                <w:szCs w:val="21"/>
                <w:highlight w:val="none"/>
              </w:rPr>
            </w:pPr>
          </w:p>
        </w:tc>
        <w:tc>
          <w:tcPr>
            <w:tcW w:w="828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Cs w:val="21"/>
                <w:highlight w:val="none"/>
              </w:rPr>
            </w:pPr>
          </w:p>
          <w:p>
            <w:pPr>
              <w:widowControl/>
              <w:jc w:val="left"/>
              <w:rPr>
                <w:rFonts w:ascii="宋体" w:hAnsi="Calibri" w:eastAsia="宋体" w:cs="宋体"/>
                <w:szCs w:val="21"/>
                <w:highlight w:val="none"/>
              </w:rPr>
            </w:pPr>
          </w:p>
          <w:p>
            <w:pPr>
              <w:widowControl/>
              <w:jc w:val="left"/>
              <w:rPr>
                <w:rFonts w:ascii="宋体" w:hAnsi="Calibri" w:eastAsia="宋体" w:cs="宋体"/>
                <w:szCs w:val="21"/>
                <w:highlight w:val="none"/>
              </w:rPr>
            </w:pPr>
          </w:p>
          <w:p>
            <w:pPr>
              <w:widowControl/>
              <w:jc w:val="left"/>
              <w:rPr>
                <w:rFonts w:ascii="宋体" w:hAnsi="Calibri" w:eastAsia="宋体" w:cs="宋体"/>
                <w:szCs w:val="21"/>
                <w:highlight w:val="none"/>
              </w:rPr>
            </w:pPr>
          </w:p>
          <w:p>
            <w:pPr>
              <w:widowControl/>
              <w:jc w:val="left"/>
              <w:rPr>
                <w:rFonts w:ascii="宋体" w:hAnsi="Calibri" w:eastAsia="宋体" w:cs="宋体"/>
                <w:szCs w:val="21"/>
                <w:highlight w:val="none"/>
              </w:rPr>
            </w:pPr>
          </w:p>
          <w:p>
            <w:pPr>
              <w:widowControl/>
              <w:jc w:val="left"/>
              <w:rPr>
                <w:rFonts w:ascii="宋体" w:hAnsi="Calibri" w:eastAsia="宋体" w:cs="宋体"/>
                <w:szCs w:val="21"/>
                <w:highlight w:val="none"/>
              </w:rPr>
            </w:pPr>
          </w:p>
          <w:p>
            <w:pPr>
              <w:widowControl/>
              <w:jc w:val="left"/>
              <w:rPr>
                <w:rFonts w:ascii="宋体" w:hAnsi="Calibri" w:eastAsia="宋体" w:cs="宋体"/>
                <w:szCs w:val="21"/>
                <w:highlight w:val="none"/>
              </w:rPr>
            </w:pPr>
          </w:p>
          <w:p>
            <w:pPr>
              <w:widowControl/>
              <w:jc w:val="left"/>
              <w:rPr>
                <w:rFonts w:ascii="宋体" w:hAnsi="Calibri" w:eastAsia="宋体" w:cs="宋体"/>
                <w:szCs w:val="21"/>
                <w:highlight w:val="none"/>
              </w:rPr>
            </w:pPr>
          </w:p>
          <w:p>
            <w:pPr>
              <w:widowControl/>
              <w:jc w:val="left"/>
              <w:rPr>
                <w:rFonts w:ascii="宋体" w:hAnsi="Calibri" w:eastAsia="宋体" w:cs="宋体"/>
                <w:szCs w:val="21"/>
                <w:highlight w:val="none"/>
              </w:rPr>
            </w:pPr>
          </w:p>
          <w:p>
            <w:pPr>
              <w:widowControl/>
              <w:jc w:val="left"/>
              <w:rPr>
                <w:rFonts w:ascii="宋体" w:hAnsi="Calibri" w:eastAsia="宋体" w:cs="宋体"/>
                <w:szCs w:val="21"/>
                <w:highlight w:val="none"/>
              </w:rPr>
            </w:pPr>
          </w:p>
          <w:p>
            <w:pPr>
              <w:widowControl/>
              <w:jc w:val="left"/>
              <w:rPr>
                <w:rFonts w:ascii="宋体" w:hAnsi="Calibri" w:eastAsia="宋体" w:cs="宋体"/>
                <w:szCs w:val="21"/>
                <w:highlight w:val="none"/>
              </w:rPr>
            </w:pPr>
          </w:p>
          <w:p>
            <w:pPr>
              <w:widowControl/>
              <w:jc w:val="left"/>
              <w:rPr>
                <w:rFonts w:ascii="宋体" w:hAnsi="Calibri" w:eastAsia="宋体" w:cs="宋体"/>
                <w:szCs w:val="21"/>
                <w:highlight w:val="none"/>
              </w:rPr>
            </w:pPr>
          </w:p>
          <w:p>
            <w:pPr>
              <w:spacing w:line="640" w:lineRule="exact"/>
              <w:rPr>
                <w:rFonts w:ascii="宋体" w:hAnsi="Calibri" w:eastAsia="宋体" w:cs="宋体"/>
                <w:szCs w:val="21"/>
                <w:highlight w:val="none"/>
              </w:rPr>
            </w:pPr>
          </w:p>
        </w:tc>
      </w:tr>
    </w:tbl>
    <w:p>
      <w:pPr>
        <w:rPr>
          <w:highlight w:val="none"/>
        </w:rPr>
      </w:pPr>
    </w:p>
    <w:p>
      <w:pPr>
        <w:pStyle w:val="4"/>
        <w:jc w:val="center"/>
        <w:rPr>
          <w:highlight w:val="none"/>
        </w:rPr>
      </w:pPr>
      <w:bookmarkStart w:id="621" w:name="_Toc16060"/>
      <w:bookmarkStart w:id="622" w:name="_Toc910"/>
      <w:bookmarkStart w:id="623" w:name="_Toc26639"/>
      <w:r>
        <w:rPr>
          <w:rFonts w:hint="eastAsia"/>
          <w:highlight w:val="none"/>
        </w:rPr>
        <w:t>六</w:t>
      </w:r>
      <w:r>
        <w:rPr>
          <w:highlight w:val="none"/>
        </w:rPr>
        <w:t>、资格审查资料</w:t>
      </w:r>
      <w:bookmarkEnd w:id="608"/>
      <w:bookmarkEnd w:id="609"/>
      <w:bookmarkEnd w:id="610"/>
      <w:bookmarkEnd w:id="611"/>
      <w:bookmarkEnd w:id="612"/>
      <w:bookmarkEnd w:id="613"/>
      <w:bookmarkEnd w:id="614"/>
      <w:bookmarkEnd w:id="615"/>
      <w:bookmarkEnd w:id="621"/>
      <w:bookmarkEnd w:id="622"/>
      <w:bookmarkEnd w:id="623"/>
    </w:p>
    <w:p>
      <w:pPr>
        <w:pStyle w:val="5"/>
        <w:jc w:val="center"/>
        <w:rPr>
          <w:highlight w:val="none"/>
        </w:rPr>
      </w:pPr>
      <w:bookmarkStart w:id="624" w:name="_Toc25056"/>
      <w:bookmarkStart w:id="625" w:name="_Toc152042597"/>
      <w:bookmarkStart w:id="626" w:name="_Toc179632828"/>
      <w:bookmarkStart w:id="627" w:name="_Toc16081"/>
      <w:bookmarkStart w:id="628" w:name="_Toc247085891"/>
      <w:bookmarkStart w:id="629" w:name="_Toc144974876"/>
      <w:bookmarkStart w:id="630" w:name="_Toc152045808"/>
      <w:bookmarkStart w:id="631" w:name="_Toc246996373"/>
      <w:bookmarkStart w:id="632" w:name="_Toc246997116"/>
      <w:bookmarkStart w:id="633" w:name="_Toc296602618"/>
      <w:bookmarkStart w:id="634" w:name="_Toc23151"/>
      <w:r>
        <w:rPr>
          <w:highlight w:val="none"/>
        </w:rPr>
        <w:t>（一）基本情况表</w:t>
      </w:r>
      <w:bookmarkEnd w:id="624"/>
      <w:bookmarkEnd w:id="625"/>
      <w:bookmarkEnd w:id="626"/>
      <w:bookmarkEnd w:id="627"/>
      <w:bookmarkEnd w:id="628"/>
      <w:bookmarkEnd w:id="629"/>
      <w:bookmarkEnd w:id="630"/>
      <w:bookmarkEnd w:id="631"/>
      <w:bookmarkEnd w:id="632"/>
      <w:bookmarkEnd w:id="633"/>
      <w:bookmarkEnd w:id="634"/>
    </w:p>
    <w:tbl>
      <w:tblPr>
        <w:tblStyle w:val="19"/>
        <w:tblW w:w="98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4"/>
        <w:gridCol w:w="1032"/>
        <w:gridCol w:w="1092"/>
        <w:gridCol w:w="964"/>
        <w:gridCol w:w="483"/>
        <w:gridCol w:w="356"/>
        <w:gridCol w:w="1238"/>
        <w:gridCol w:w="563"/>
        <w:gridCol w:w="988"/>
        <w:gridCol w:w="11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名称</w:t>
            </w:r>
          </w:p>
        </w:tc>
        <w:tc>
          <w:tcPr>
            <w:tcW w:w="7856"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注册地址</w:t>
            </w:r>
          </w:p>
        </w:tc>
        <w:tc>
          <w:tcPr>
            <w:tcW w:w="3927"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邮政编码</w:t>
            </w:r>
          </w:p>
        </w:tc>
        <w:tc>
          <w:tcPr>
            <w:tcW w:w="269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0" w:hRule="atLeast"/>
        </w:trPr>
        <w:tc>
          <w:tcPr>
            <w:tcW w:w="1984"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联系方式</w:t>
            </w:r>
          </w:p>
        </w:tc>
        <w:tc>
          <w:tcPr>
            <w:tcW w:w="10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联系人</w:t>
            </w:r>
          </w:p>
        </w:tc>
        <w:tc>
          <w:tcPr>
            <w:tcW w:w="2895"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电 话</w:t>
            </w:r>
          </w:p>
        </w:tc>
        <w:tc>
          <w:tcPr>
            <w:tcW w:w="269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7" w:hRule="atLeast"/>
        </w:trPr>
        <w:tc>
          <w:tcPr>
            <w:tcW w:w="1984"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传  真</w:t>
            </w:r>
          </w:p>
        </w:tc>
        <w:tc>
          <w:tcPr>
            <w:tcW w:w="2895"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网 址</w:t>
            </w:r>
          </w:p>
        </w:tc>
        <w:tc>
          <w:tcPr>
            <w:tcW w:w="269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组织结构</w:t>
            </w:r>
          </w:p>
        </w:tc>
        <w:tc>
          <w:tcPr>
            <w:tcW w:w="7856"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法定代表人</w:t>
            </w:r>
          </w:p>
        </w:tc>
        <w:tc>
          <w:tcPr>
            <w:tcW w:w="10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姓名</w:t>
            </w:r>
          </w:p>
        </w:tc>
        <w:tc>
          <w:tcPr>
            <w:tcW w:w="10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技术职称</w:t>
            </w:r>
          </w:p>
        </w:tc>
        <w:tc>
          <w:tcPr>
            <w:tcW w:w="215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98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电话</w:t>
            </w:r>
          </w:p>
        </w:tc>
        <w:tc>
          <w:tcPr>
            <w:tcW w:w="11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技术负责人</w:t>
            </w:r>
          </w:p>
        </w:tc>
        <w:tc>
          <w:tcPr>
            <w:tcW w:w="10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姓名</w:t>
            </w:r>
          </w:p>
        </w:tc>
        <w:tc>
          <w:tcPr>
            <w:tcW w:w="10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技术职称</w:t>
            </w:r>
          </w:p>
        </w:tc>
        <w:tc>
          <w:tcPr>
            <w:tcW w:w="215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98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电话</w:t>
            </w:r>
          </w:p>
        </w:tc>
        <w:tc>
          <w:tcPr>
            <w:tcW w:w="11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7"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成立时间</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5732"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szCs w:val="21"/>
                <w:highlight w:val="none"/>
              </w:rPr>
            </w:pPr>
            <w:r>
              <w:rPr>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5"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企业资质等级</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964"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其中</w:t>
            </w:r>
          </w:p>
        </w:tc>
        <w:tc>
          <w:tcPr>
            <w:tcW w:w="264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项目经理</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4"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营业执照号</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964"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264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高级职称人员</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9"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注册资金</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964"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264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中级职称人员</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8"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开户银行</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964"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264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初级职称人员</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1"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账号</w:t>
            </w:r>
          </w:p>
        </w:tc>
        <w:tc>
          <w:tcPr>
            <w:tcW w:w="212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964"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c>
          <w:tcPr>
            <w:tcW w:w="264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highlight w:val="none"/>
              </w:rPr>
            </w:pPr>
            <w:r>
              <w:rPr>
                <w:szCs w:val="21"/>
                <w:highlight w:val="none"/>
              </w:rPr>
              <w:t>技</w:t>
            </w:r>
            <w:r>
              <w:rPr>
                <w:rFonts w:hint="eastAsia"/>
                <w:szCs w:val="21"/>
                <w:highlight w:val="none"/>
              </w:rPr>
              <w:t xml:space="preserve">  </w:t>
            </w:r>
            <w:r>
              <w:rPr>
                <w:szCs w:val="21"/>
                <w:highlight w:val="none"/>
              </w:rPr>
              <w:t>工</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25" w:hRule="atLeast"/>
        </w:trPr>
        <w:tc>
          <w:tcPr>
            <w:tcW w:w="1984"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szCs w:val="21"/>
                <w:highlight w:val="none"/>
              </w:rPr>
            </w:pPr>
            <w:r>
              <w:rPr>
                <w:szCs w:val="21"/>
                <w:highlight w:val="none"/>
              </w:rPr>
              <w:t>经营范围</w:t>
            </w:r>
          </w:p>
        </w:tc>
        <w:tc>
          <w:tcPr>
            <w:tcW w:w="7856" w:type="dxa"/>
            <w:gridSpan w:val="9"/>
            <w:tcBorders>
              <w:top w:val="single" w:color="auto" w:sz="4" w:space="0"/>
              <w:left w:val="single" w:color="auto" w:sz="4" w:space="0"/>
              <w:right w:val="single" w:color="auto" w:sz="4" w:space="0"/>
            </w:tcBorders>
            <w:vAlign w:val="center"/>
          </w:tcPr>
          <w:p>
            <w:pPr>
              <w:topLinePunct/>
              <w:spacing w:line="4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9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r>
              <w:rPr>
                <w:szCs w:val="21"/>
                <w:highlight w:val="none"/>
              </w:rPr>
              <w:t>备注</w:t>
            </w:r>
          </w:p>
        </w:tc>
        <w:tc>
          <w:tcPr>
            <w:tcW w:w="7856"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highlight w:val="none"/>
              </w:rPr>
            </w:pPr>
          </w:p>
        </w:tc>
      </w:tr>
    </w:tbl>
    <w:p>
      <w:pPr>
        <w:spacing w:line="640" w:lineRule="exact"/>
        <w:rPr>
          <w:highlight w:val="none"/>
        </w:rPr>
      </w:pPr>
      <w:bookmarkStart w:id="635" w:name="_Toc296602619"/>
      <w:bookmarkStart w:id="636" w:name="_Toc247514301"/>
      <w:bookmarkStart w:id="637" w:name="_Toc152042598"/>
      <w:bookmarkStart w:id="638" w:name="_Toc152045809"/>
      <w:bookmarkStart w:id="639" w:name="_Toc247527849"/>
      <w:bookmarkStart w:id="640" w:name="_Toc265953295"/>
      <w:bookmarkStart w:id="641" w:name="_Toc144974877"/>
      <w:bookmarkStart w:id="642" w:name="_Toc144974881"/>
      <w:bookmarkStart w:id="643" w:name="_Toc152042602"/>
      <w:bookmarkStart w:id="644" w:name="_Toc179632833"/>
      <w:bookmarkStart w:id="645" w:name="_Toc152045813"/>
      <w:r>
        <w:rPr>
          <w:rFonts w:hint="eastAsia"/>
          <w:highlight w:val="none"/>
        </w:rPr>
        <w:t xml:space="preserve">    应附公司营业执照、资质证书、法人身份证明或授权代表授权委托书及身份证等资格要求中需要提交的材料的复印件。</w:t>
      </w:r>
    </w:p>
    <w:p>
      <w:pPr>
        <w:pStyle w:val="5"/>
        <w:spacing w:before="0" w:after="0"/>
        <w:jc w:val="center"/>
        <w:rPr>
          <w:highlight w:val="none"/>
        </w:rPr>
      </w:pPr>
    </w:p>
    <w:p>
      <w:pPr>
        <w:rPr>
          <w:highlight w:val="none"/>
        </w:rPr>
      </w:pPr>
    </w:p>
    <w:p>
      <w:pPr>
        <w:pStyle w:val="5"/>
        <w:spacing w:before="0" w:after="0"/>
        <w:jc w:val="center"/>
        <w:rPr>
          <w:highlight w:val="none"/>
        </w:rPr>
      </w:pPr>
      <w:bookmarkStart w:id="646" w:name="_Toc28369"/>
      <w:bookmarkStart w:id="647" w:name="_Toc26389"/>
      <w:bookmarkStart w:id="648" w:name="_Toc8684"/>
      <w:r>
        <w:rPr>
          <w:highlight w:val="none"/>
        </w:rPr>
        <w:t>（二）近年财务状况</w:t>
      </w:r>
      <w:bookmarkEnd w:id="635"/>
      <w:bookmarkEnd w:id="636"/>
      <w:bookmarkEnd w:id="637"/>
      <w:bookmarkEnd w:id="638"/>
      <w:bookmarkEnd w:id="639"/>
      <w:bookmarkEnd w:id="640"/>
      <w:bookmarkEnd w:id="641"/>
      <w:bookmarkEnd w:id="646"/>
      <w:bookmarkEnd w:id="647"/>
      <w:bookmarkEnd w:id="648"/>
    </w:p>
    <w:p>
      <w:pPr>
        <w:topLinePunct/>
        <w:spacing w:line="440" w:lineRule="exact"/>
        <w:ind w:firstLine="420" w:firstLineChars="200"/>
        <w:jc w:val="left"/>
        <w:rPr>
          <w:highlight w:val="none"/>
        </w:rPr>
      </w:pPr>
      <w:r>
        <w:rPr>
          <w:rFonts w:hint="eastAsia"/>
          <w:highlight w:val="none"/>
        </w:rPr>
        <w:t>近三年财务状况良好的证明材料（资产负债表、现金流量表、利润表、财务情况说明书、银行资信证明等均可）</w:t>
      </w:r>
    </w:p>
    <w:p>
      <w:pPr>
        <w:pStyle w:val="5"/>
        <w:spacing w:before="0" w:after="0"/>
        <w:jc w:val="center"/>
        <w:rPr>
          <w:highlight w:val="none"/>
        </w:rPr>
      </w:pPr>
      <w:bookmarkStart w:id="649" w:name="_Toc247514302"/>
      <w:bookmarkStart w:id="650" w:name="_Toc144974878"/>
      <w:bookmarkStart w:id="651" w:name="_Toc152042599"/>
      <w:bookmarkStart w:id="652" w:name="_Toc247527850"/>
      <w:bookmarkStart w:id="653" w:name="_Toc296602620"/>
      <w:bookmarkStart w:id="654" w:name="_Toc152045810"/>
      <w:bookmarkStart w:id="655" w:name="_Toc265953296"/>
    </w:p>
    <w:p>
      <w:pPr>
        <w:pStyle w:val="5"/>
        <w:spacing w:before="0" w:after="0"/>
        <w:jc w:val="center"/>
        <w:rPr>
          <w:rFonts w:eastAsia="黑体"/>
          <w:sz w:val="23"/>
          <w:szCs w:val="23"/>
          <w:highlight w:val="none"/>
        </w:rPr>
      </w:pPr>
      <w:bookmarkStart w:id="656" w:name="_Toc15770"/>
      <w:bookmarkStart w:id="657" w:name="_Toc18605"/>
      <w:bookmarkStart w:id="658" w:name="_Toc630"/>
      <w:r>
        <w:rPr>
          <w:highlight w:val="none"/>
        </w:rPr>
        <w:t>（三）近年完成的</w:t>
      </w:r>
      <w:r>
        <w:rPr>
          <w:rFonts w:hint="eastAsia"/>
          <w:highlight w:val="none"/>
        </w:rPr>
        <w:t>类似</w:t>
      </w:r>
      <w:r>
        <w:rPr>
          <w:highlight w:val="none"/>
        </w:rPr>
        <w:t>项目情况表</w:t>
      </w:r>
      <w:bookmarkEnd w:id="649"/>
      <w:bookmarkEnd w:id="650"/>
      <w:bookmarkEnd w:id="651"/>
      <w:bookmarkEnd w:id="652"/>
      <w:bookmarkEnd w:id="653"/>
      <w:bookmarkEnd w:id="654"/>
      <w:bookmarkEnd w:id="655"/>
      <w:bookmarkEnd w:id="656"/>
      <w:bookmarkEnd w:id="657"/>
      <w:bookmarkEnd w:id="658"/>
    </w:p>
    <w:tbl>
      <w:tblPr>
        <w:tblStyle w:val="19"/>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7"/>
        <w:gridCol w:w="7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2567" w:type="dxa"/>
            <w:vAlign w:val="center"/>
          </w:tcPr>
          <w:p>
            <w:pPr>
              <w:topLinePunct/>
              <w:spacing w:line="440" w:lineRule="exact"/>
              <w:jc w:val="center"/>
              <w:rPr>
                <w:szCs w:val="21"/>
                <w:highlight w:val="none"/>
              </w:rPr>
            </w:pPr>
            <w:r>
              <w:rPr>
                <w:szCs w:val="21"/>
                <w:highlight w:val="none"/>
              </w:rPr>
              <w:t>项目名称</w:t>
            </w:r>
          </w:p>
        </w:tc>
        <w:tc>
          <w:tcPr>
            <w:tcW w:w="7333" w:type="dxa"/>
          </w:tcPr>
          <w:p>
            <w:pPr>
              <w:topLinePunct/>
              <w:spacing w:line="4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2567" w:type="dxa"/>
            <w:vAlign w:val="center"/>
          </w:tcPr>
          <w:p>
            <w:pPr>
              <w:topLinePunct/>
              <w:spacing w:line="440" w:lineRule="exact"/>
              <w:jc w:val="center"/>
              <w:rPr>
                <w:szCs w:val="21"/>
                <w:highlight w:val="none"/>
              </w:rPr>
            </w:pPr>
            <w:r>
              <w:rPr>
                <w:szCs w:val="21"/>
                <w:highlight w:val="none"/>
              </w:rPr>
              <w:t>项目所在地</w:t>
            </w:r>
          </w:p>
        </w:tc>
        <w:tc>
          <w:tcPr>
            <w:tcW w:w="7333" w:type="dxa"/>
          </w:tcPr>
          <w:p>
            <w:pPr>
              <w:topLinePunct/>
              <w:spacing w:line="4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2567" w:type="dxa"/>
            <w:vAlign w:val="center"/>
          </w:tcPr>
          <w:p>
            <w:pPr>
              <w:topLinePunct/>
              <w:spacing w:line="440" w:lineRule="exact"/>
              <w:jc w:val="center"/>
              <w:rPr>
                <w:szCs w:val="21"/>
                <w:highlight w:val="none"/>
              </w:rPr>
            </w:pPr>
            <w:r>
              <w:rPr>
                <w:szCs w:val="21"/>
                <w:highlight w:val="none"/>
              </w:rPr>
              <w:t>发包人名称</w:t>
            </w:r>
          </w:p>
        </w:tc>
        <w:tc>
          <w:tcPr>
            <w:tcW w:w="7333" w:type="dxa"/>
          </w:tcPr>
          <w:p>
            <w:pPr>
              <w:topLinePunct/>
              <w:spacing w:line="4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2567" w:type="dxa"/>
            <w:vAlign w:val="center"/>
          </w:tcPr>
          <w:p>
            <w:pPr>
              <w:topLinePunct/>
              <w:spacing w:line="440" w:lineRule="exact"/>
              <w:jc w:val="center"/>
              <w:rPr>
                <w:szCs w:val="21"/>
                <w:highlight w:val="none"/>
              </w:rPr>
            </w:pPr>
            <w:r>
              <w:rPr>
                <w:szCs w:val="21"/>
                <w:highlight w:val="none"/>
              </w:rPr>
              <w:t>发包人地址</w:t>
            </w:r>
          </w:p>
        </w:tc>
        <w:tc>
          <w:tcPr>
            <w:tcW w:w="7333" w:type="dxa"/>
          </w:tcPr>
          <w:p>
            <w:pPr>
              <w:topLinePunct/>
              <w:spacing w:line="4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2567" w:type="dxa"/>
            <w:vAlign w:val="center"/>
          </w:tcPr>
          <w:p>
            <w:pPr>
              <w:topLinePunct/>
              <w:spacing w:line="440" w:lineRule="exact"/>
              <w:jc w:val="center"/>
              <w:rPr>
                <w:szCs w:val="21"/>
                <w:highlight w:val="none"/>
              </w:rPr>
            </w:pPr>
            <w:r>
              <w:rPr>
                <w:szCs w:val="21"/>
                <w:highlight w:val="none"/>
              </w:rPr>
              <w:t>发包人电话</w:t>
            </w:r>
          </w:p>
        </w:tc>
        <w:tc>
          <w:tcPr>
            <w:tcW w:w="7333" w:type="dxa"/>
          </w:tcPr>
          <w:p>
            <w:pPr>
              <w:topLinePunct/>
              <w:spacing w:line="4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2567" w:type="dxa"/>
            <w:vAlign w:val="center"/>
          </w:tcPr>
          <w:p>
            <w:pPr>
              <w:topLinePunct/>
              <w:spacing w:line="440" w:lineRule="exact"/>
              <w:jc w:val="center"/>
              <w:rPr>
                <w:szCs w:val="21"/>
                <w:highlight w:val="none"/>
              </w:rPr>
            </w:pPr>
            <w:r>
              <w:rPr>
                <w:szCs w:val="21"/>
                <w:highlight w:val="none"/>
              </w:rPr>
              <w:t>合同价格</w:t>
            </w:r>
          </w:p>
        </w:tc>
        <w:tc>
          <w:tcPr>
            <w:tcW w:w="7333" w:type="dxa"/>
          </w:tcPr>
          <w:p>
            <w:pPr>
              <w:topLinePunct/>
              <w:spacing w:line="4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2567" w:type="dxa"/>
            <w:vAlign w:val="center"/>
          </w:tcPr>
          <w:p>
            <w:pPr>
              <w:topLinePunct/>
              <w:spacing w:line="440" w:lineRule="exact"/>
              <w:jc w:val="center"/>
              <w:rPr>
                <w:szCs w:val="21"/>
                <w:highlight w:val="none"/>
              </w:rPr>
            </w:pPr>
            <w:r>
              <w:rPr>
                <w:szCs w:val="21"/>
                <w:highlight w:val="none"/>
              </w:rPr>
              <w:t>开工日期</w:t>
            </w:r>
          </w:p>
        </w:tc>
        <w:tc>
          <w:tcPr>
            <w:tcW w:w="7333" w:type="dxa"/>
          </w:tcPr>
          <w:p>
            <w:pPr>
              <w:topLinePunct/>
              <w:spacing w:line="4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2567" w:type="dxa"/>
            <w:vAlign w:val="center"/>
          </w:tcPr>
          <w:p>
            <w:pPr>
              <w:topLinePunct/>
              <w:spacing w:line="440" w:lineRule="exact"/>
              <w:jc w:val="center"/>
              <w:rPr>
                <w:szCs w:val="21"/>
                <w:highlight w:val="none"/>
              </w:rPr>
            </w:pPr>
            <w:r>
              <w:rPr>
                <w:rFonts w:hint="eastAsia"/>
                <w:highlight w:val="none"/>
              </w:rPr>
              <w:t>竣工</w:t>
            </w:r>
            <w:r>
              <w:rPr>
                <w:szCs w:val="21"/>
                <w:highlight w:val="none"/>
              </w:rPr>
              <w:t>日期</w:t>
            </w:r>
          </w:p>
        </w:tc>
        <w:tc>
          <w:tcPr>
            <w:tcW w:w="7333" w:type="dxa"/>
          </w:tcPr>
          <w:p>
            <w:pPr>
              <w:topLinePunct/>
              <w:spacing w:line="4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2567" w:type="dxa"/>
            <w:vAlign w:val="center"/>
          </w:tcPr>
          <w:p>
            <w:pPr>
              <w:topLinePunct/>
              <w:spacing w:line="440" w:lineRule="exact"/>
              <w:jc w:val="center"/>
              <w:rPr>
                <w:szCs w:val="21"/>
                <w:highlight w:val="none"/>
              </w:rPr>
            </w:pPr>
            <w:r>
              <w:rPr>
                <w:szCs w:val="21"/>
                <w:highlight w:val="none"/>
              </w:rPr>
              <w:t>承担的工作</w:t>
            </w:r>
          </w:p>
        </w:tc>
        <w:tc>
          <w:tcPr>
            <w:tcW w:w="7333" w:type="dxa"/>
          </w:tcPr>
          <w:p>
            <w:pPr>
              <w:topLinePunct/>
              <w:spacing w:line="4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2567" w:type="dxa"/>
            <w:vAlign w:val="center"/>
          </w:tcPr>
          <w:p>
            <w:pPr>
              <w:topLinePunct/>
              <w:spacing w:line="440" w:lineRule="exact"/>
              <w:jc w:val="center"/>
              <w:rPr>
                <w:szCs w:val="21"/>
                <w:highlight w:val="none"/>
              </w:rPr>
            </w:pPr>
            <w:r>
              <w:rPr>
                <w:szCs w:val="21"/>
                <w:highlight w:val="none"/>
              </w:rPr>
              <w:t>工程质量</w:t>
            </w:r>
          </w:p>
        </w:tc>
        <w:tc>
          <w:tcPr>
            <w:tcW w:w="7333" w:type="dxa"/>
          </w:tcPr>
          <w:p>
            <w:pPr>
              <w:topLinePunct/>
              <w:spacing w:line="4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567" w:type="dxa"/>
            <w:vAlign w:val="center"/>
          </w:tcPr>
          <w:p>
            <w:pPr>
              <w:topLinePunct/>
              <w:spacing w:line="440" w:lineRule="exact"/>
              <w:jc w:val="center"/>
              <w:rPr>
                <w:szCs w:val="21"/>
                <w:highlight w:val="none"/>
              </w:rPr>
            </w:pPr>
            <w:r>
              <w:rPr>
                <w:szCs w:val="21"/>
                <w:highlight w:val="none"/>
              </w:rPr>
              <w:t>项目经理</w:t>
            </w:r>
          </w:p>
        </w:tc>
        <w:tc>
          <w:tcPr>
            <w:tcW w:w="7333" w:type="dxa"/>
          </w:tcPr>
          <w:p>
            <w:pPr>
              <w:topLinePunct/>
              <w:spacing w:line="4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567" w:type="dxa"/>
            <w:vAlign w:val="center"/>
          </w:tcPr>
          <w:p>
            <w:pPr>
              <w:topLinePunct/>
              <w:spacing w:line="440" w:lineRule="exact"/>
              <w:jc w:val="center"/>
              <w:rPr>
                <w:szCs w:val="21"/>
                <w:highlight w:val="none"/>
              </w:rPr>
            </w:pPr>
            <w:r>
              <w:rPr>
                <w:szCs w:val="21"/>
                <w:highlight w:val="none"/>
              </w:rPr>
              <w:t>技术负责人</w:t>
            </w:r>
          </w:p>
        </w:tc>
        <w:tc>
          <w:tcPr>
            <w:tcW w:w="7333" w:type="dxa"/>
          </w:tcPr>
          <w:p>
            <w:pPr>
              <w:topLinePunct/>
              <w:spacing w:line="4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8" w:hRule="atLeast"/>
        </w:trPr>
        <w:tc>
          <w:tcPr>
            <w:tcW w:w="2567" w:type="dxa"/>
            <w:vAlign w:val="center"/>
          </w:tcPr>
          <w:p>
            <w:pPr>
              <w:topLinePunct/>
              <w:spacing w:line="440" w:lineRule="exact"/>
              <w:jc w:val="center"/>
              <w:rPr>
                <w:szCs w:val="21"/>
                <w:highlight w:val="none"/>
              </w:rPr>
            </w:pPr>
            <w:r>
              <w:rPr>
                <w:szCs w:val="21"/>
                <w:highlight w:val="none"/>
              </w:rPr>
              <w:t>项目描述</w:t>
            </w:r>
          </w:p>
        </w:tc>
        <w:tc>
          <w:tcPr>
            <w:tcW w:w="7333" w:type="dxa"/>
          </w:tcPr>
          <w:p>
            <w:pPr>
              <w:topLinePunct/>
              <w:spacing w:line="440" w:lineRule="exact"/>
              <w:rPr>
                <w:szCs w:val="21"/>
                <w:highlight w:val="none"/>
              </w:rPr>
            </w:pPr>
          </w:p>
          <w:p>
            <w:pPr>
              <w:topLinePunct/>
              <w:spacing w:line="4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2567" w:type="dxa"/>
            <w:vAlign w:val="center"/>
          </w:tcPr>
          <w:p>
            <w:pPr>
              <w:topLinePunct/>
              <w:spacing w:line="440" w:lineRule="exact"/>
              <w:jc w:val="center"/>
              <w:rPr>
                <w:szCs w:val="21"/>
                <w:highlight w:val="none"/>
              </w:rPr>
            </w:pPr>
            <w:r>
              <w:rPr>
                <w:szCs w:val="21"/>
                <w:highlight w:val="none"/>
              </w:rPr>
              <w:t>备注</w:t>
            </w:r>
          </w:p>
        </w:tc>
        <w:tc>
          <w:tcPr>
            <w:tcW w:w="7333" w:type="dxa"/>
          </w:tcPr>
          <w:p>
            <w:pPr>
              <w:topLinePunct/>
              <w:spacing w:line="440" w:lineRule="exact"/>
              <w:rPr>
                <w:szCs w:val="21"/>
                <w:highlight w:val="none"/>
              </w:rPr>
            </w:pPr>
          </w:p>
        </w:tc>
      </w:tr>
    </w:tbl>
    <w:p>
      <w:pPr>
        <w:pStyle w:val="5"/>
        <w:jc w:val="center"/>
        <w:rPr>
          <w:highlight w:val="none"/>
        </w:rPr>
      </w:pPr>
      <w:bookmarkStart w:id="659" w:name="_Toc265953297"/>
      <w:bookmarkStart w:id="660" w:name="_Toc247514303"/>
      <w:bookmarkStart w:id="661" w:name="_Toc296602621"/>
      <w:bookmarkStart w:id="662" w:name="_Toc152042600"/>
      <w:bookmarkStart w:id="663" w:name="_Toc144974879"/>
      <w:bookmarkStart w:id="664" w:name="_Toc247527851"/>
      <w:bookmarkStart w:id="665" w:name="_Toc152045811"/>
      <w:bookmarkStart w:id="666" w:name="_Toc550"/>
      <w:bookmarkStart w:id="667" w:name="_Toc22763"/>
      <w:bookmarkStart w:id="668" w:name="_Toc10686"/>
      <w:r>
        <w:rPr>
          <w:highlight w:val="none"/>
        </w:rPr>
        <w:t>（四）</w:t>
      </w:r>
      <w:bookmarkEnd w:id="659"/>
      <w:bookmarkEnd w:id="660"/>
      <w:bookmarkEnd w:id="661"/>
      <w:bookmarkEnd w:id="662"/>
      <w:bookmarkEnd w:id="663"/>
      <w:bookmarkEnd w:id="664"/>
      <w:bookmarkEnd w:id="665"/>
      <w:bookmarkStart w:id="669" w:name="_Toc247085892"/>
      <w:bookmarkStart w:id="670" w:name="_Toc246996374"/>
      <w:bookmarkStart w:id="671" w:name="_Toc296602622"/>
      <w:bookmarkStart w:id="672" w:name="_Toc246997117"/>
      <w:r>
        <w:rPr>
          <w:rFonts w:hint="eastAsia"/>
          <w:highlight w:val="none"/>
        </w:rPr>
        <w:t>近三年无重大违法记录的声明</w:t>
      </w:r>
      <w:bookmarkEnd w:id="666"/>
      <w:bookmarkEnd w:id="667"/>
      <w:bookmarkEnd w:id="668"/>
    </w:p>
    <w:p>
      <w:pPr>
        <w:spacing w:line="640" w:lineRule="exact"/>
        <w:rPr>
          <w:highlight w:val="none"/>
        </w:rPr>
      </w:pPr>
      <w:r>
        <w:rPr>
          <w:rFonts w:hint="eastAsia"/>
          <w:highlight w:val="none"/>
        </w:rPr>
        <w:t>：</w:t>
      </w:r>
    </w:p>
    <w:p>
      <w:pPr>
        <w:spacing w:line="640" w:lineRule="exact"/>
        <w:ind w:firstLine="435"/>
        <w:rPr>
          <w:highlight w:val="none"/>
        </w:rPr>
      </w:pPr>
      <w:r>
        <w:rPr>
          <w:rFonts w:hint="eastAsia"/>
          <w:highlight w:val="none"/>
        </w:rPr>
        <w:t>我公司在2016年1月1日至2019年   月   日（开标日期）期间，在经营活动中不存在因违法经营受到刑事处罚或者责令停产停业、吊销许可证或者执照、较大数额罚款等行政处罚等重大违法情况，特此声明。</w:t>
      </w:r>
    </w:p>
    <w:p>
      <w:pPr>
        <w:spacing w:line="640" w:lineRule="exact"/>
        <w:ind w:firstLine="435"/>
        <w:rPr>
          <w:highlight w:val="none"/>
        </w:rPr>
      </w:pPr>
    </w:p>
    <w:p>
      <w:pPr>
        <w:spacing w:line="640" w:lineRule="exact"/>
        <w:ind w:firstLine="435"/>
        <w:rPr>
          <w:highlight w:val="none"/>
        </w:rPr>
      </w:pPr>
    </w:p>
    <w:p>
      <w:pPr>
        <w:spacing w:line="640" w:lineRule="exact"/>
        <w:ind w:firstLine="435"/>
        <w:rPr>
          <w:highlight w:val="none"/>
        </w:rPr>
      </w:pPr>
      <w:r>
        <w:rPr>
          <w:rFonts w:hint="eastAsia"/>
          <w:highlight w:val="none"/>
        </w:rPr>
        <w:t xml:space="preserve">                                                            （加盖单位公章）</w:t>
      </w:r>
    </w:p>
    <w:p>
      <w:pPr>
        <w:spacing w:line="640" w:lineRule="exact"/>
        <w:ind w:firstLine="435"/>
        <w:rPr>
          <w:highlight w:val="none"/>
        </w:rPr>
      </w:pPr>
      <w:r>
        <w:rPr>
          <w:rFonts w:hint="eastAsia"/>
          <w:highlight w:val="none"/>
        </w:rPr>
        <w:t xml:space="preserve">                                                                2019年 月  日</w:t>
      </w:r>
    </w:p>
    <w:p>
      <w:pPr>
        <w:spacing w:line="640" w:lineRule="exact"/>
        <w:ind w:firstLine="435"/>
        <w:rPr>
          <w:highlight w:val="none"/>
        </w:rPr>
      </w:pPr>
    </w:p>
    <w:p>
      <w:pPr>
        <w:spacing w:line="640" w:lineRule="exact"/>
        <w:ind w:firstLine="435"/>
        <w:rPr>
          <w:highlight w:val="none"/>
        </w:rPr>
      </w:pPr>
    </w:p>
    <w:p>
      <w:pPr>
        <w:spacing w:line="640" w:lineRule="exact"/>
        <w:ind w:firstLine="435"/>
        <w:rPr>
          <w:highlight w:val="none"/>
        </w:rPr>
      </w:pPr>
    </w:p>
    <w:p>
      <w:pPr>
        <w:spacing w:line="640" w:lineRule="exact"/>
        <w:ind w:firstLine="435"/>
        <w:rPr>
          <w:highlight w:val="none"/>
        </w:rPr>
      </w:pPr>
    </w:p>
    <w:p>
      <w:pPr>
        <w:spacing w:line="640" w:lineRule="exact"/>
        <w:ind w:firstLine="435"/>
        <w:rPr>
          <w:highlight w:val="none"/>
        </w:rPr>
      </w:pPr>
    </w:p>
    <w:p>
      <w:pPr>
        <w:spacing w:line="640" w:lineRule="exact"/>
        <w:rPr>
          <w:highlight w:val="none"/>
        </w:rPr>
      </w:pPr>
    </w:p>
    <w:p>
      <w:pPr>
        <w:spacing w:line="640" w:lineRule="exact"/>
        <w:ind w:firstLine="435"/>
        <w:rPr>
          <w:highlight w:val="none"/>
        </w:rPr>
      </w:pPr>
    </w:p>
    <w:p>
      <w:pPr>
        <w:pStyle w:val="5"/>
        <w:jc w:val="center"/>
        <w:rPr>
          <w:highlight w:val="none"/>
        </w:rPr>
      </w:pPr>
      <w:bookmarkStart w:id="673" w:name="_Toc25531"/>
      <w:bookmarkStart w:id="674" w:name="_Toc6244"/>
      <w:bookmarkStart w:id="675" w:name="_Toc31886"/>
      <w:r>
        <w:rPr>
          <w:rFonts w:hint="eastAsia"/>
          <w:highlight w:val="none"/>
        </w:rPr>
        <w:t>（五）</w:t>
      </w:r>
      <w:r>
        <w:rPr>
          <w:highlight w:val="none"/>
        </w:rPr>
        <w:t>其他</w:t>
      </w:r>
      <w:r>
        <w:rPr>
          <w:rFonts w:hint="eastAsia"/>
          <w:highlight w:val="none"/>
        </w:rPr>
        <w:t>资格审查资</w:t>
      </w:r>
      <w:r>
        <w:rPr>
          <w:highlight w:val="none"/>
        </w:rPr>
        <w:t>料</w:t>
      </w:r>
      <w:bookmarkEnd w:id="642"/>
      <w:bookmarkEnd w:id="643"/>
      <w:bookmarkEnd w:id="644"/>
      <w:bookmarkEnd w:id="645"/>
      <w:bookmarkEnd w:id="669"/>
      <w:bookmarkEnd w:id="670"/>
      <w:bookmarkEnd w:id="671"/>
      <w:bookmarkEnd w:id="672"/>
      <w:bookmarkEnd w:id="673"/>
      <w:bookmarkEnd w:id="674"/>
      <w:bookmarkEnd w:id="675"/>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r>
        <w:rPr>
          <w:rFonts w:hint="eastAsia" w:ascii="Arial" w:hAnsi="Arial" w:eastAsia="黑体"/>
          <w:b/>
          <w:bCs/>
          <w:sz w:val="32"/>
          <w:szCs w:val="32"/>
          <w:highlight w:val="none"/>
        </w:rPr>
        <w:t>七、磋商文件规定或认为需要递交的其他材料；</w:t>
      </w: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jc w:val="center"/>
        <w:rPr>
          <w:rFonts w:ascii="Arial" w:hAnsi="Arial" w:eastAsia="黑体"/>
          <w:b/>
          <w:bCs/>
          <w:sz w:val="32"/>
          <w:szCs w:val="32"/>
          <w:highlight w:val="none"/>
        </w:rPr>
      </w:pPr>
    </w:p>
    <w:p>
      <w:pPr>
        <w:pStyle w:val="9"/>
        <w:spacing w:after="0"/>
        <w:jc w:val="center"/>
        <w:outlineLvl w:val="0"/>
        <w:rPr>
          <w:rFonts w:ascii="Arial" w:hAnsi="Arial" w:eastAsia="黑体"/>
          <w:b/>
          <w:bCs/>
          <w:sz w:val="32"/>
          <w:szCs w:val="32"/>
          <w:highlight w:val="none"/>
        </w:rPr>
      </w:pPr>
      <w:bookmarkStart w:id="676" w:name="_Toc24587"/>
      <w:bookmarkStart w:id="677" w:name="_Toc22109"/>
      <w:bookmarkStart w:id="678" w:name="_Toc16424"/>
      <w:r>
        <w:rPr>
          <w:rFonts w:hint="eastAsia" w:ascii="Arial" w:hAnsi="Arial" w:eastAsia="黑体"/>
          <w:b/>
          <w:bCs/>
          <w:sz w:val="32"/>
          <w:szCs w:val="32"/>
          <w:highlight w:val="none"/>
        </w:rPr>
        <w:t>八、密封格式</w:t>
      </w:r>
      <w:bookmarkEnd w:id="676"/>
      <w:bookmarkEnd w:id="677"/>
      <w:bookmarkEnd w:id="678"/>
    </w:p>
    <w:p>
      <w:pPr>
        <w:pStyle w:val="13"/>
        <w:spacing w:line="440" w:lineRule="exact"/>
        <w:ind w:left="99" w:leftChars="47"/>
        <w:jc w:val="center"/>
        <w:rPr>
          <w:rFonts w:ascii="宋体" w:hAnsi="宋体"/>
          <w:b/>
          <w:bCs/>
          <w:sz w:val="32"/>
          <w:szCs w:val="32"/>
          <w:highlight w:val="none"/>
        </w:rPr>
      </w:pPr>
    </w:p>
    <w:p>
      <w:pPr>
        <w:pStyle w:val="10"/>
        <w:ind w:left="0" w:leftChars="0" w:firstLine="0" w:firstLineChars="0"/>
        <w:rPr>
          <w:rFonts w:ascii="宋体" w:hAnsi="宋体" w:cs="宋体"/>
          <w:b/>
          <w:bCs/>
          <w:sz w:val="32"/>
          <w:highlight w:val="none"/>
        </w:rPr>
      </w:pPr>
      <w:r>
        <w:rPr>
          <w:rFonts w:hint="eastAsia" w:ascii="宋体" w:hAnsi="宋体" w:cs="宋体"/>
          <w:b/>
          <w:bCs/>
          <w:sz w:val="32"/>
          <w:highlight w:val="none"/>
        </w:rPr>
        <w:t>封面格式：</w:t>
      </w:r>
    </w:p>
    <w:tbl>
      <w:tblPr>
        <w:tblStyle w:val="19"/>
        <w:tblW w:w="93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6"/>
        <w:gridCol w:w="4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7" w:hRule="atLeast"/>
        </w:trPr>
        <w:tc>
          <w:tcPr>
            <w:tcW w:w="4656" w:type="dxa"/>
          </w:tcPr>
          <w:p>
            <w:pPr>
              <w:pStyle w:val="10"/>
              <w:ind w:left="0" w:leftChars="0" w:firstLine="0" w:firstLineChars="0"/>
              <w:jc w:val="center"/>
              <w:rPr>
                <w:rFonts w:ascii="宋体" w:hAnsi="宋体" w:cs="宋体"/>
                <w:b/>
                <w:highlight w:val="none"/>
              </w:rPr>
            </w:pPr>
            <w:r>
              <w:rPr>
                <w:rFonts w:hint="eastAsia" w:ascii="宋体" w:hAnsi="宋体" w:cs="宋体"/>
                <w:b/>
                <w:highlight w:val="none"/>
              </w:rPr>
              <w:t>响应文件</w:t>
            </w:r>
          </w:p>
          <w:p>
            <w:pPr>
              <w:pStyle w:val="10"/>
              <w:ind w:left="0" w:leftChars="0" w:firstLine="0" w:firstLineChars="0"/>
              <w:jc w:val="center"/>
              <w:rPr>
                <w:rFonts w:ascii="宋体" w:hAnsi="宋体" w:cs="宋体"/>
                <w:highlight w:val="none"/>
              </w:rPr>
            </w:pPr>
            <w:r>
              <w:rPr>
                <w:rFonts w:hint="eastAsia" w:ascii="宋体" w:hAnsi="宋体" w:cs="宋体"/>
                <w:b/>
                <w:highlight w:val="none"/>
              </w:rPr>
              <w:t>（正本）</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项目编号：</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项目名称：</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供应商名称（公章）：</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地址：</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电话：</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传真：</w:t>
            </w:r>
          </w:p>
        </w:tc>
        <w:tc>
          <w:tcPr>
            <w:tcW w:w="4718" w:type="dxa"/>
          </w:tcPr>
          <w:p>
            <w:pPr>
              <w:pStyle w:val="10"/>
              <w:ind w:left="0" w:leftChars="0" w:firstLine="0" w:firstLineChars="0"/>
              <w:jc w:val="center"/>
              <w:rPr>
                <w:rFonts w:ascii="宋体" w:hAnsi="宋体" w:cs="宋体"/>
                <w:b/>
                <w:highlight w:val="none"/>
              </w:rPr>
            </w:pPr>
            <w:r>
              <w:rPr>
                <w:rFonts w:hint="eastAsia" w:ascii="宋体" w:hAnsi="宋体" w:cs="宋体"/>
                <w:b/>
                <w:highlight w:val="none"/>
              </w:rPr>
              <w:t>响应文件</w:t>
            </w:r>
          </w:p>
          <w:p>
            <w:pPr>
              <w:pStyle w:val="10"/>
              <w:ind w:left="0" w:leftChars="0" w:firstLine="0" w:firstLineChars="0"/>
              <w:jc w:val="center"/>
              <w:rPr>
                <w:rFonts w:ascii="宋体" w:hAnsi="宋体" w:cs="宋体"/>
                <w:highlight w:val="none"/>
              </w:rPr>
            </w:pPr>
            <w:r>
              <w:rPr>
                <w:rFonts w:hint="eastAsia" w:ascii="宋体" w:hAnsi="宋体" w:cs="宋体"/>
                <w:b/>
                <w:highlight w:val="none"/>
              </w:rPr>
              <w:t>（副本）</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项目编号：</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项目名称：</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供应商名称（公章）：</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地址：</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电话：</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传真：</w:t>
            </w:r>
          </w:p>
        </w:tc>
      </w:tr>
    </w:tbl>
    <w:p>
      <w:pPr>
        <w:pStyle w:val="10"/>
        <w:ind w:left="1747" w:firstLine="470"/>
        <w:rPr>
          <w:rFonts w:ascii="宋体" w:hAnsi="宋体" w:cs="宋体"/>
          <w:highlight w:val="none"/>
        </w:rPr>
      </w:pPr>
    </w:p>
    <w:p>
      <w:pPr>
        <w:pStyle w:val="10"/>
        <w:ind w:left="1747" w:firstLine="470"/>
        <w:rPr>
          <w:rFonts w:ascii="宋体" w:hAnsi="宋体" w:cs="宋体"/>
          <w:highlight w:val="none"/>
        </w:rPr>
      </w:pPr>
    </w:p>
    <w:tbl>
      <w:tblPr>
        <w:tblStyle w:val="1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4"/>
        <w:gridCol w:w="4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4" w:hRule="atLeast"/>
        </w:trPr>
        <w:tc>
          <w:tcPr>
            <w:tcW w:w="4714" w:type="dxa"/>
            <w:tcBorders>
              <w:bottom w:val="single" w:color="auto" w:sz="4" w:space="0"/>
            </w:tcBorders>
          </w:tcPr>
          <w:p>
            <w:pPr>
              <w:pStyle w:val="10"/>
              <w:ind w:left="0" w:leftChars="0" w:firstLine="0" w:firstLineChars="0"/>
              <w:jc w:val="center"/>
              <w:rPr>
                <w:rFonts w:ascii="宋体" w:hAnsi="宋体" w:cs="宋体"/>
                <w:highlight w:val="none"/>
              </w:rPr>
            </w:pPr>
            <w:r>
              <w:rPr>
                <w:rFonts w:hint="eastAsia" w:ascii="宋体" w:hAnsi="宋体" w:cs="宋体"/>
                <w:b/>
                <w:highlight w:val="none"/>
              </w:rPr>
              <w:t>报价一览表</w:t>
            </w:r>
          </w:p>
          <w:p>
            <w:pPr>
              <w:pStyle w:val="10"/>
              <w:spacing w:line="400" w:lineRule="exact"/>
              <w:ind w:left="1747" w:firstLine="470"/>
              <w:rPr>
                <w:rFonts w:ascii="宋体" w:hAnsi="宋体" w:cs="宋体"/>
                <w:highlight w:val="none"/>
              </w:rPr>
            </w:pP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项目编号：</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项目名称：</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供应商名称（公章）：</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地址：</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电话：</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传真：</w:t>
            </w:r>
          </w:p>
        </w:tc>
        <w:tc>
          <w:tcPr>
            <w:tcW w:w="4642" w:type="dxa"/>
            <w:tcBorders>
              <w:bottom w:val="single" w:color="auto" w:sz="4" w:space="0"/>
            </w:tcBorders>
          </w:tcPr>
          <w:p>
            <w:pPr>
              <w:pStyle w:val="10"/>
              <w:spacing w:line="400" w:lineRule="exact"/>
              <w:ind w:left="0" w:leftChars="0" w:firstLine="0" w:firstLineChars="0"/>
              <w:jc w:val="center"/>
              <w:rPr>
                <w:rFonts w:ascii="宋体" w:hAnsi="宋体" w:cs="宋体"/>
                <w:b/>
                <w:bCs/>
                <w:highlight w:val="none"/>
              </w:rPr>
            </w:pPr>
            <w:r>
              <w:rPr>
                <w:rFonts w:hint="eastAsia" w:ascii="宋体" w:hAnsi="宋体" w:cs="宋体"/>
                <w:b/>
                <w:bCs/>
                <w:highlight w:val="none"/>
              </w:rPr>
              <w:t>磋商保证金</w:t>
            </w:r>
          </w:p>
          <w:p>
            <w:pPr>
              <w:pStyle w:val="10"/>
              <w:spacing w:line="400" w:lineRule="exact"/>
              <w:ind w:left="1747" w:firstLine="470"/>
              <w:rPr>
                <w:rFonts w:ascii="宋体" w:hAnsi="宋体" w:cs="宋体"/>
                <w:highlight w:val="none"/>
              </w:rPr>
            </w:pP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项目编号：</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项目名称：</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供应商名称（公章）：</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地址：</w:t>
            </w:r>
          </w:p>
          <w:p>
            <w:pPr>
              <w:pStyle w:val="10"/>
              <w:spacing w:line="400" w:lineRule="exact"/>
              <w:ind w:left="0" w:leftChars="0" w:firstLine="240" w:firstLineChars="100"/>
              <w:rPr>
                <w:rFonts w:ascii="宋体" w:hAnsi="宋体" w:cs="宋体"/>
                <w:highlight w:val="none"/>
              </w:rPr>
            </w:pPr>
            <w:r>
              <w:rPr>
                <w:rFonts w:hint="eastAsia" w:ascii="宋体" w:hAnsi="宋体" w:cs="宋体"/>
                <w:highlight w:val="none"/>
              </w:rPr>
              <w:t>电话：</w:t>
            </w:r>
          </w:p>
          <w:p>
            <w:pPr>
              <w:pStyle w:val="10"/>
              <w:spacing w:line="400" w:lineRule="exact"/>
              <w:ind w:left="0" w:leftChars="0" w:firstLine="240" w:firstLineChars="100"/>
              <w:rPr>
                <w:rFonts w:ascii="宋体" w:hAnsi="宋体" w:cs="宋体"/>
                <w:b/>
                <w:bCs/>
                <w:highlight w:val="none"/>
              </w:rPr>
            </w:pPr>
            <w:r>
              <w:rPr>
                <w:rFonts w:hint="eastAsia" w:ascii="宋体" w:hAnsi="宋体" w:cs="宋体"/>
                <w:highlight w:val="none"/>
              </w:rPr>
              <w:t>传真：</w:t>
            </w:r>
          </w:p>
        </w:tc>
      </w:tr>
    </w:tbl>
    <w:p>
      <w:pPr>
        <w:pStyle w:val="10"/>
        <w:ind w:left="0" w:leftChars="0" w:firstLine="0" w:firstLineChars="0"/>
        <w:rPr>
          <w:rFonts w:ascii="宋体" w:hAnsi="宋体" w:cs="宋体"/>
          <w:b/>
          <w:bCs/>
          <w:sz w:val="32"/>
          <w:highlight w:val="none"/>
        </w:rPr>
      </w:pPr>
      <w:r>
        <w:rPr>
          <w:rFonts w:hint="eastAsia" w:ascii="宋体" w:hAnsi="宋体" w:cs="宋体"/>
          <w:b/>
          <w:bCs/>
          <w:sz w:val="32"/>
          <w:highlight w:val="none"/>
        </w:rPr>
        <w:t>封口格式：</w:t>
      </w:r>
    </w:p>
    <w:tbl>
      <w:tblPr>
        <w:tblStyle w:val="19"/>
        <w:tblW w:w="95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9552" w:type="dxa"/>
            <w:tcBorders>
              <w:bottom w:val="single" w:color="auto" w:sz="4" w:space="0"/>
            </w:tcBorders>
            <w:vAlign w:val="center"/>
          </w:tcPr>
          <w:p>
            <w:pPr>
              <w:pStyle w:val="10"/>
              <w:ind w:left="1747" w:firstLine="470"/>
              <w:rPr>
                <w:rFonts w:ascii="宋体" w:hAnsi="宋体" w:cs="宋体"/>
                <w:highlight w:val="none"/>
              </w:rPr>
            </w:pPr>
            <w:r>
              <w:rPr>
                <w:rFonts w:hint="eastAsia" w:ascii="宋体" w:hAnsi="宋体" w:cs="宋体"/>
                <w:highlight w:val="none"/>
              </w:rPr>
              <w:t>………于  年  月  日   时之前不准启封（公章）………</w:t>
            </w:r>
          </w:p>
        </w:tc>
      </w:tr>
    </w:tbl>
    <w:p>
      <w:pPr>
        <w:pStyle w:val="24"/>
        <w:spacing w:line="360" w:lineRule="auto"/>
        <w:jc w:val="left"/>
        <w:rPr>
          <w:rFonts w:ascii="宋体" w:hAnsi="宋体" w:eastAsia="宋体" w:cs="宋体"/>
          <w:highlight w:val="none"/>
        </w:rPr>
      </w:pPr>
    </w:p>
    <w:p>
      <w:pPr>
        <w:rPr>
          <w:rFonts w:ascii="宋体" w:hAnsi="宋体"/>
          <w:highlight w:val="none"/>
        </w:rPr>
      </w:pPr>
    </w:p>
    <w:p>
      <w:pPr>
        <w:rPr>
          <w:highlight w:val="none"/>
        </w:rPr>
      </w:pPr>
    </w:p>
    <w:sectPr>
      <w:headerReference r:id="rId4" w:type="default"/>
      <w:footerReference r:id="rId5"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宋体"/>
    <w:panose1 w:val="00000000000000000000"/>
    <w:charset w:val="86"/>
    <w:family w:val="script"/>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098" o:spid="_x0000_s409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pict>
        <v:shape id="文本框 1" o:spid="_x0000_s4097"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LA4wcuAEAAE8DAAAOAAAAAAAAAAAAAAAAAC4CAABkcnMvZTJvRG9jLnht&#10;bFBLAQItABQABgAIAAAAIQAMSvDu1gAAAAUBAAAPAAAAAAAAAAAAAAAAABIEAABkcnMvZG93bnJl&#10;di54bWxQSwUGAAAAAAQABADzAAAAFQU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099" o:spid="_x0000_s409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szCs w:val="21"/>
      </w:rPr>
    </w:pPr>
    <w:r>
      <w:rPr>
        <w:rFonts w:hint="eastAsia" w:ascii="仿宋_GB2312" w:eastAsia="仿宋_GB2312"/>
        <w:bCs/>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7B76B"/>
    <w:multiLevelType w:val="singleLevel"/>
    <w:tmpl w:val="8AC7B76B"/>
    <w:lvl w:ilvl="0" w:tentative="0">
      <w:start w:val="2"/>
      <w:numFmt w:val="decimal"/>
      <w:suff w:val="nothing"/>
      <w:lvlText w:val="%1、"/>
      <w:lvlJc w:val="left"/>
      <w:pPr>
        <w:ind w:left="480" w:firstLine="0"/>
      </w:pPr>
    </w:lvl>
  </w:abstractNum>
  <w:abstractNum w:abstractNumId="1">
    <w:nsid w:val="A2363EBA"/>
    <w:multiLevelType w:val="singleLevel"/>
    <w:tmpl w:val="A2363EBA"/>
    <w:lvl w:ilvl="0" w:tentative="0">
      <w:start w:val="1"/>
      <w:numFmt w:val="decimal"/>
      <w:suff w:val="nothing"/>
      <w:lvlText w:val="%1、"/>
      <w:lvlJc w:val="left"/>
    </w:lvl>
  </w:abstractNum>
  <w:abstractNum w:abstractNumId="2">
    <w:nsid w:val="CA835116"/>
    <w:multiLevelType w:val="singleLevel"/>
    <w:tmpl w:val="CA835116"/>
    <w:lvl w:ilvl="0" w:tentative="0">
      <w:start w:val="3"/>
      <w:numFmt w:val="chineseCounting"/>
      <w:suff w:val="nothing"/>
      <w:lvlText w:val="%1、"/>
      <w:lvlJc w:val="left"/>
      <w:rPr>
        <w:rFonts w:hint="eastAsia"/>
      </w:rPr>
    </w:lvl>
  </w:abstractNum>
  <w:abstractNum w:abstractNumId="3">
    <w:nsid w:val="E7F07539"/>
    <w:multiLevelType w:val="singleLevel"/>
    <w:tmpl w:val="E7F07539"/>
    <w:lvl w:ilvl="0" w:tentative="0">
      <w:start w:val="1"/>
      <w:numFmt w:val="decimal"/>
      <w:suff w:val="nothing"/>
      <w:lvlText w:val="（%1）"/>
      <w:lvlJc w:val="left"/>
    </w:lvl>
  </w:abstractNum>
  <w:abstractNum w:abstractNumId="4">
    <w:nsid w:val="5938F4F6"/>
    <w:multiLevelType w:val="singleLevel"/>
    <w:tmpl w:val="5938F4F6"/>
    <w:lvl w:ilvl="0" w:tentative="0">
      <w:start w:val="1"/>
      <w:numFmt w:val="chineseCounting"/>
      <w:suff w:val="space"/>
      <w:lvlText w:val="第%1章"/>
      <w:lvlJc w:val="left"/>
    </w:lvl>
  </w:abstractNum>
  <w:abstractNum w:abstractNumId="5">
    <w:nsid w:val="78D538C6"/>
    <w:multiLevelType w:val="singleLevel"/>
    <w:tmpl w:val="78D538C6"/>
    <w:lvl w:ilvl="0" w:tentative="0">
      <w:start w:val="2"/>
      <w:numFmt w:val="decimal"/>
      <w:suff w:val="nothing"/>
      <w:lvlText w:val="（%1）"/>
      <w:lvlJc w:val="left"/>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AB06CC8"/>
    <w:rsid w:val="000014F1"/>
    <w:rsid w:val="00050115"/>
    <w:rsid w:val="00076118"/>
    <w:rsid w:val="00085E44"/>
    <w:rsid w:val="0008741E"/>
    <w:rsid w:val="000F7A2A"/>
    <w:rsid w:val="00111F0D"/>
    <w:rsid w:val="00121DAC"/>
    <w:rsid w:val="00126BE0"/>
    <w:rsid w:val="00131524"/>
    <w:rsid w:val="00131F4E"/>
    <w:rsid w:val="00143D5F"/>
    <w:rsid w:val="00166B23"/>
    <w:rsid w:val="00180705"/>
    <w:rsid w:val="0019492D"/>
    <w:rsid w:val="001B7A87"/>
    <w:rsid w:val="001D6511"/>
    <w:rsid w:val="0024431A"/>
    <w:rsid w:val="002449E0"/>
    <w:rsid w:val="00291B5D"/>
    <w:rsid w:val="002D476C"/>
    <w:rsid w:val="00314C9E"/>
    <w:rsid w:val="00324F43"/>
    <w:rsid w:val="003306F7"/>
    <w:rsid w:val="00355759"/>
    <w:rsid w:val="003762C7"/>
    <w:rsid w:val="00405951"/>
    <w:rsid w:val="00415C59"/>
    <w:rsid w:val="00417767"/>
    <w:rsid w:val="0049708E"/>
    <w:rsid w:val="00497B61"/>
    <w:rsid w:val="0050487E"/>
    <w:rsid w:val="00563794"/>
    <w:rsid w:val="005B4C95"/>
    <w:rsid w:val="005F1EEB"/>
    <w:rsid w:val="0061148D"/>
    <w:rsid w:val="00622C66"/>
    <w:rsid w:val="006730E2"/>
    <w:rsid w:val="006A1D67"/>
    <w:rsid w:val="006E17F3"/>
    <w:rsid w:val="006E194E"/>
    <w:rsid w:val="00713010"/>
    <w:rsid w:val="00757266"/>
    <w:rsid w:val="00832E44"/>
    <w:rsid w:val="00875573"/>
    <w:rsid w:val="008A2DA3"/>
    <w:rsid w:val="008B1110"/>
    <w:rsid w:val="008C302E"/>
    <w:rsid w:val="008C6429"/>
    <w:rsid w:val="008F7D66"/>
    <w:rsid w:val="008F7E29"/>
    <w:rsid w:val="00903D66"/>
    <w:rsid w:val="00975530"/>
    <w:rsid w:val="00982986"/>
    <w:rsid w:val="00996F0A"/>
    <w:rsid w:val="009B5BB8"/>
    <w:rsid w:val="00A0765D"/>
    <w:rsid w:val="00AC7CB0"/>
    <w:rsid w:val="00B04204"/>
    <w:rsid w:val="00B22A61"/>
    <w:rsid w:val="00B22F75"/>
    <w:rsid w:val="00B5237A"/>
    <w:rsid w:val="00B71A8C"/>
    <w:rsid w:val="00C04E6E"/>
    <w:rsid w:val="00C22615"/>
    <w:rsid w:val="00C57E2C"/>
    <w:rsid w:val="00C81B14"/>
    <w:rsid w:val="00CB3892"/>
    <w:rsid w:val="00CD595C"/>
    <w:rsid w:val="00D30546"/>
    <w:rsid w:val="00D756E4"/>
    <w:rsid w:val="00E05684"/>
    <w:rsid w:val="00E24E32"/>
    <w:rsid w:val="00E47257"/>
    <w:rsid w:val="00EC5B68"/>
    <w:rsid w:val="00EE2702"/>
    <w:rsid w:val="00EF7B33"/>
    <w:rsid w:val="00F173FA"/>
    <w:rsid w:val="00F24D28"/>
    <w:rsid w:val="00F47F83"/>
    <w:rsid w:val="00F5174F"/>
    <w:rsid w:val="00FB741B"/>
    <w:rsid w:val="00FE0040"/>
    <w:rsid w:val="00FE1E6F"/>
    <w:rsid w:val="00FF0C8C"/>
    <w:rsid w:val="00FF70BF"/>
    <w:rsid w:val="010C04A2"/>
    <w:rsid w:val="010C346B"/>
    <w:rsid w:val="013A41ED"/>
    <w:rsid w:val="019467C0"/>
    <w:rsid w:val="01B20DD1"/>
    <w:rsid w:val="020077C1"/>
    <w:rsid w:val="02590117"/>
    <w:rsid w:val="026C4128"/>
    <w:rsid w:val="02A42887"/>
    <w:rsid w:val="02CF5C8B"/>
    <w:rsid w:val="030551B0"/>
    <w:rsid w:val="0393202F"/>
    <w:rsid w:val="03A273A2"/>
    <w:rsid w:val="03ED4540"/>
    <w:rsid w:val="03FC7D47"/>
    <w:rsid w:val="041A6157"/>
    <w:rsid w:val="042C47A1"/>
    <w:rsid w:val="04543917"/>
    <w:rsid w:val="04FF6A20"/>
    <w:rsid w:val="05357488"/>
    <w:rsid w:val="0571710D"/>
    <w:rsid w:val="057761DE"/>
    <w:rsid w:val="05A74321"/>
    <w:rsid w:val="05E821D0"/>
    <w:rsid w:val="063829E3"/>
    <w:rsid w:val="0666583B"/>
    <w:rsid w:val="0695508B"/>
    <w:rsid w:val="06CA1A5D"/>
    <w:rsid w:val="06E5142E"/>
    <w:rsid w:val="070723E8"/>
    <w:rsid w:val="07172DBD"/>
    <w:rsid w:val="07343BD4"/>
    <w:rsid w:val="07377977"/>
    <w:rsid w:val="074B7ABB"/>
    <w:rsid w:val="07611176"/>
    <w:rsid w:val="07D874BB"/>
    <w:rsid w:val="07F1398F"/>
    <w:rsid w:val="08033C1C"/>
    <w:rsid w:val="08767A8F"/>
    <w:rsid w:val="09152BFB"/>
    <w:rsid w:val="096F584D"/>
    <w:rsid w:val="09DD6C12"/>
    <w:rsid w:val="0A605BB5"/>
    <w:rsid w:val="0ACE1AC1"/>
    <w:rsid w:val="0B0934E4"/>
    <w:rsid w:val="0B0B00E9"/>
    <w:rsid w:val="0BF01B01"/>
    <w:rsid w:val="0C4016A3"/>
    <w:rsid w:val="0C577465"/>
    <w:rsid w:val="0CC84858"/>
    <w:rsid w:val="0CE754E2"/>
    <w:rsid w:val="0D024B0C"/>
    <w:rsid w:val="0D392CB9"/>
    <w:rsid w:val="0DC07F0E"/>
    <w:rsid w:val="0DE751DB"/>
    <w:rsid w:val="0E037B1E"/>
    <w:rsid w:val="0E0843C5"/>
    <w:rsid w:val="0E1B7706"/>
    <w:rsid w:val="0E1F2B44"/>
    <w:rsid w:val="0E265FB7"/>
    <w:rsid w:val="0E536B32"/>
    <w:rsid w:val="0EF374EA"/>
    <w:rsid w:val="0FCD3532"/>
    <w:rsid w:val="1025023E"/>
    <w:rsid w:val="10436897"/>
    <w:rsid w:val="10D1652E"/>
    <w:rsid w:val="10ED09CA"/>
    <w:rsid w:val="11350576"/>
    <w:rsid w:val="114F5AF8"/>
    <w:rsid w:val="11B03C6A"/>
    <w:rsid w:val="11BB2BC0"/>
    <w:rsid w:val="11C90447"/>
    <w:rsid w:val="11E26A97"/>
    <w:rsid w:val="11F03DB5"/>
    <w:rsid w:val="121A0DE5"/>
    <w:rsid w:val="122411CE"/>
    <w:rsid w:val="12365884"/>
    <w:rsid w:val="123735E8"/>
    <w:rsid w:val="124F6643"/>
    <w:rsid w:val="127C6B93"/>
    <w:rsid w:val="12875698"/>
    <w:rsid w:val="128D098A"/>
    <w:rsid w:val="12D52E13"/>
    <w:rsid w:val="12F14031"/>
    <w:rsid w:val="12F9407F"/>
    <w:rsid w:val="131C62CA"/>
    <w:rsid w:val="135730A4"/>
    <w:rsid w:val="138759F4"/>
    <w:rsid w:val="13B64912"/>
    <w:rsid w:val="1458746B"/>
    <w:rsid w:val="147A22F4"/>
    <w:rsid w:val="14A42F58"/>
    <w:rsid w:val="14CD5A87"/>
    <w:rsid w:val="14FA7FF6"/>
    <w:rsid w:val="15136FB5"/>
    <w:rsid w:val="1528381F"/>
    <w:rsid w:val="15433447"/>
    <w:rsid w:val="158A67A5"/>
    <w:rsid w:val="15C44B40"/>
    <w:rsid w:val="160E35E9"/>
    <w:rsid w:val="162C74D7"/>
    <w:rsid w:val="169F6AC1"/>
    <w:rsid w:val="16B31BAC"/>
    <w:rsid w:val="16F77B36"/>
    <w:rsid w:val="17985AA8"/>
    <w:rsid w:val="17A62036"/>
    <w:rsid w:val="17A633B1"/>
    <w:rsid w:val="17E1777A"/>
    <w:rsid w:val="17F01978"/>
    <w:rsid w:val="18032745"/>
    <w:rsid w:val="180E3180"/>
    <w:rsid w:val="18207A92"/>
    <w:rsid w:val="18495812"/>
    <w:rsid w:val="18725577"/>
    <w:rsid w:val="18B31268"/>
    <w:rsid w:val="18C15396"/>
    <w:rsid w:val="18E50280"/>
    <w:rsid w:val="18F650C4"/>
    <w:rsid w:val="18F75CBA"/>
    <w:rsid w:val="196614F3"/>
    <w:rsid w:val="19A37511"/>
    <w:rsid w:val="19BB7F09"/>
    <w:rsid w:val="19E463B3"/>
    <w:rsid w:val="1A494210"/>
    <w:rsid w:val="1A5F6B66"/>
    <w:rsid w:val="1A8C0D8D"/>
    <w:rsid w:val="1AFD47A7"/>
    <w:rsid w:val="1B024F11"/>
    <w:rsid w:val="1B3441F7"/>
    <w:rsid w:val="1B4259EB"/>
    <w:rsid w:val="1B8F0021"/>
    <w:rsid w:val="1BC85CBC"/>
    <w:rsid w:val="1C166B49"/>
    <w:rsid w:val="1C272851"/>
    <w:rsid w:val="1CC67A9C"/>
    <w:rsid w:val="1CE9478F"/>
    <w:rsid w:val="1D86659B"/>
    <w:rsid w:val="1DDB33D2"/>
    <w:rsid w:val="1E555355"/>
    <w:rsid w:val="1E662E7D"/>
    <w:rsid w:val="1EBA2FAA"/>
    <w:rsid w:val="1F8B2A75"/>
    <w:rsid w:val="20F21AA0"/>
    <w:rsid w:val="210B16D1"/>
    <w:rsid w:val="21162A9B"/>
    <w:rsid w:val="212275E0"/>
    <w:rsid w:val="21D92F1C"/>
    <w:rsid w:val="22130CC8"/>
    <w:rsid w:val="224113F7"/>
    <w:rsid w:val="22422F92"/>
    <w:rsid w:val="22784858"/>
    <w:rsid w:val="22914A82"/>
    <w:rsid w:val="22F678F6"/>
    <w:rsid w:val="23026365"/>
    <w:rsid w:val="232732A8"/>
    <w:rsid w:val="23736C05"/>
    <w:rsid w:val="247B6277"/>
    <w:rsid w:val="24930C55"/>
    <w:rsid w:val="24C95E33"/>
    <w:rsid w:val="2674175B"/>
    <w:rsid w:val="268739EE"/>
    <w:rsid w:val="268A7FF3"/>
    <w:rsid w:val="26D46E67"/>
    <w:rsid w:val="274E08D8"/>
    <w:rsid w:val="28760EDC"/>
    <w:rsid w:val="28A64A81"/>
    <w:rsid w:val="28BE68E7"/>
    <w:rsid w:val="29377242"/>
    <w:rsid w:val="29612E91"/>
    <w:rsid w:val="29880BE0"/>
    <w:rsid w:val="29AD3419"/>
    <w:rsid w:val="2A005631"/>
    <w:rsid w:val="2A220D3F"/>
    <w:rsid w:val="2A376745"/>
    <w:rsid w:val="2A9654B3"/>
    <w:rsid w:val="2AC81F56"/>
    <w:rsid w:val="2AE24E0D"/>
    <w:rsid w:val="2B236937"/>
    <w:rsid w:val="2B2545C4"/>
    <w:rsid w:val="2BD32C4E"/>
    <w:rsid w:val="2C203948"/>
    <w:rsid w:val="2C9D53B8"/>
    <w:rsid w:val="2DA903E8"/>
    <w:rsid w:val="2DC2400D"/>
    <w:rsid w:val="2DDB14D1"/>
    <w:rsid w:val="2E1608D7"/>
    <w:rsid w:val="2E701432"/>
    <w:rsid w:val="2F003138"/>
    <w:rsid w:val="2F3C237D"/>
    <w:rsid w:val="2F7519AE"/>
    <w:rsid w:val="30441292"/>
    <w:rsid w:val="308640BB"/>
    <w:rsid w:val="30B70F9F"/>
    <w:rsid w:val="30C01D38"/>
    <w:rsid w:val="30CD3E60"/>
    <w:rsid w:val="31AF4FAA"/>
    <w:rsid w:val="31E07724"/>
    <w:rsid w:val="3386717F"/>
    <w:rsid w:val="338D6BE4"/>
    <w:rsid w:val="343E5DE9"/>
    <w:rsid w:val="3468001C"/>
    <w:rsid w:val="34A72CF3"/>
    <w:rsid w:val="34F75895"/>
    <w:rsid w:val="34FC0598"/>
    <w:rsid w:val="3562124E"/>
    <w:rsid w:val="356A7B5D"/>
    <w:rsid w:val="35935A2C"/>
    <w:rsid w:val="35AE2E47"/>
    <w:rsid w:val="3602791F"/>
    <w:rsid w:val="3608252D"/>
    <w:rsid w:val="36565CC6"/>
    <w:rsid w:val="36DA14B6"/>
    <w:rsid w:val="372977C0"/>
    <w:rsid w:val="37630894"/>
    <w:rsid w:val="376673E9"/>
    <w:rsid w:val="377301BD"/>
    <w:rsid w:val="37875DC5"/>
    <w:rsid w:val="37E377ED"/>
    <w:rsid w:val="37F572FB"/>
    <w:rsid w:val="382D4C0D"/>
    <w:rsid w:val="38A60D71"/>
    <w:rsid w:val="38EC6287"/>
    <w:rsid w:val="38F74916"/>
    <w:rsid w:val="39144AED"/>
    <w:rsid w:val="392D5CE0"/>
    <w:rsid w:val="39925B28"/>
    <w:rsid w:val="39AF7302"/>
    <w:rsid w:val="3AB0711D"/>
    <w:rsid w:val="3AB7205C"/>
    <w:rsid w:val="3B32302B"/>
    <w:rsid w:val="3B400F5C"/>
    <w:rsid w:val="3BB338CD"/>
    <w:rsid w:val="3BD16711"/>
    <w:rsid w:val="3C0729BD"/>
    <w:rsid w:val="3C4E385E"/>
    <w:rsid w:val="3C7E38CA"/>
    <w:rsid w:val="3CB6303D"/>
    <w:rsid w:val="3D17611F"/>
    <w:rsid w:val="3D3038AD"/>
    <w:rsid w:val="3D4246B4"/>
    <w:rsid w:val="3E470410"/>
    <w:rsid w:val="3E5D44B0"/>
    <w:rsid w:val="3F2558BF"/>
    <w:rsid w:val="3F9A6052"/>
    <w:rsid w:val="3FDE65FF"/>
    <w:rsid w:val="4017692C"/>
    <w:rsid w:val="402E3AC8"/>
    <w:rsid w:val="40363CC6"/>
    <w:rsid w:val="407F0483"/>
    <w:rsid w:val="40ED4591"/>
    <w:rsid w:val="41290B96"/>
    <w:rsid w:val="41762173"/>
    <w:rsid w:val="417938E7"/>
    <w:rsid w:val="41E64139"/>
    <w:rsid w:val="42064C21"/>
    <w:rsid w:val="422733EB"/>
    <w:rsid w:val="422826C5"/>
    <w:rsid w:val="427C4CCD"/>
    <w:rsid w:val="42DC37E0"/>
    <w:rsid w:val="42EC695E"/>
    <w:rsid w:val="434E03AA"/>
    <w:rsid w:val="436D1822"/>
    <w:rsid w:val="43C04A07"/>
    <w:rsid w:val="43C73D7A"/>
    <w:rsid w:val="43D41123"/>
    <w:rsid w:val="43DD3BFF"/>
    <w:rsid w:val="44BA2E95"/>
    <w:rsid w:val="44D52465"/>
    <w:rsid w:val="44F36112"/>
    <w:rsid w:val="4586599C"/>
    <w:rsid w:val="46712312"/>
    <w:rsid w:val="46976B8E"/>
    <w:rsid w:val="4720601E"/>
    <w:rsid w:val="473B1CBF"/>
    <w:rsid w:val="47953AD6"/>
    <w:rsid w:val="47AA347A"/>
    <w:rsid w:val="47E64F3A"/>
    <w:rsid w:val="481F7A6D"/>
    <w:rsid w:val="489E2F51"/>
    <w:rsid w:val="48BF7F12"/>
    <w:rsid w:val="492E1690"/>
    <w:rsid w:val="495F1229"/>
    <w:rsid w:val="49927E1F"/>
    <w:rsid w:val="49E8311B"/>
    <w:rsid w:val="4A1E6FA2"/>
    <w:rsid w:val="4A226895"/>
    <w:rsid w:val="4AB06CC8"/>
    <w:rsid w:val="4AC928B9"/>
    <w:rsid w:val="4ACB13E8"/>
    <w:rsid w:val="4AF14534"/>
    <w:rsid w:val="4B767930"/>
    <w:rsid w:val="4B8B289E"/>
    <w:rsid w:val="4C812B43"/>
    <w:rsid w:val="4D206954"/>
    <w:rsid w:val="4D2C15D2"/>
    <w:rsid w:val="4D461A9F"/>
    <w:rsid w:val="4D516009"/>
    <w:rsid w:val="4D641589"/>
    <w:rsid w:val="4DEA68BA"/>
    <w:rsid w:val="4FC13A61"/>
    <w:rsid w:val="500408D5"/>
    <w:rsid w:val="505C0AC8"/>
    <w:rsid w:val="508E5B38"/>
    <w:rsid w:val="50DF4BAF"/>
    <w:rsid w:val="512A60EA"/>
    <w:rsid w:val="51663979"/>
    <w:rsid w:val="516B256D"/>
    <w:rsid w:val="5174451F"/>
    <w:rsid w:val="5193015D"/>
    <w:rsid w:val="524702ED"/>
    <w:rsid w:val="52850F3A"/>
    <w:rsid w:val="52FA6F06"/>
    <w:rsid w:val="53835C07"/>
    <w:rsid w:val="539F540D"/>
    <w:rsid w:val="54085CF6"/>
    <w:rsid w:val="55A55546"/>
    <w:rsid w:val="55BE53F4"/>
    <w:rsid w:val="56184B00"/>
    <w:rsid w:val="565E1432"/>
    <w:rsid w:val="56A21C74"/>
    <w:rsid w:val="56BD2C9C"/>
    <w:rsid w:val="574C20DF"/>
    <w:rsid w:val="57B07953"/>
    <w:rsid w:val="57B61CE3"/>
    <w:rsid w:val="583A4483"/>
    <w:rsid w:val="584752FB"/>
    <w:rsid w:val="585F2F68"/>
    <w:rsid w:val="5871254C"/>
    <w:rsid w:val="58C409D8"/>
    <w:rsid w:val="593634E0"/>
    <w:rsid w:val="594A3913"/>
    <w:rsid w:val="59BA7AF7"/>
    <w:rsid w:val="59F84D12"/>
    <w:rsid w:val="5A4558B3"/>
    <w:rsid w:val="5A840E5A"/>
    <w:rsid w:val="5A8B465A"/>
    <w:rsid w:val="5A930116"/>
    <w:rsid w:val="5B106D0E"/>
    <w:rsid w:val="5B1F53D0"/>
    <w:rsid w:val="5B2129FD"/>
    <w:rsid w:val="5B663060"/>
    <w:rsid w:val="5BA57985"/>
    <w:rsid w:val="5C760F9D"/>
    <w:rsid w:val="5D066683"/>
    <w:rsid w:val="5D2052BB"/>
    <w:rsid w:val="5D5827EB"/>
    <w:rsid w:val="5D803F98"/>
    <w:rsid w:val="5D935723"/>
    <w:rsid w:val="5DA52607"/>
    <w:rsid w:val="5E20784F"/>
    <w:rsid w:val="5E291CFF"/>
    <w:rsid w:val="5E91676C"/>
    <w:rsid w:val="5EFC2308"/>
    <w:rsid w:val="5F726FE3"/>
    <w:rsid w:val="5FE42398"/>
    <w:rsid w:val="60523B82"/>
    <w:rsid w:val="606731C8"/>
    <w:rsid w:val="60765BEA"/>
    <w:rsid w:val="60971E3D"/>
    <w:rsid w:val="60B80D61"/>
    <w:rsid w:val="610355D4"/>
    <w:rsid w:val="617A4CE7"/>
    <w:rsid w:val="625233C9"/>
    <w:rsid w:val="629712FF"/>
    <w:rsid w:val="62BB487F"/>
    <w:rsid w:val="62C96B99"/>
    <w:rsid w:val="63632028"/>
    <w:rsid w:val="637B39F3"/>
    <w:rsid w:val="63A30C85"/>
    <w:rsid w:val="647E3873"/>
    <w:rsid w:val="649E4816"/>
    <w:rsid w:val="658D5A3B"/>
    <w:rsid w:val="658E6CE3"/>
    <w:rsid w:val="6596206F"/>
    <w:rsid w:val="65D77F90"/>
    <w:rsid w:val="66225690"/>
    <w:rsid w:val="663C4E1D"/>
    <w:rsid w:val="667C2C14"/>
    <w:rsid w:val="66B0554A"/>
    <w:rsid w:val="66ED112B"/>
    <w:rsid w:val="6805584C"/>
    <w:rsid w:val="683C32C9"/>
    <w:rsid w:val="683C34A7"/>
    <w:rsid w:val="683D6D40"/>
    <w:rsid w:val="687721A8"/>
    <w:rsid w:val="687D4230"/>
    <w:rsid w:val="699F61E1"/>
    <w:rsid w:val="69D27CC7"/>
    <w:rsid w:val="6A4B2864"/>
    <w:rsid w:val="6B206FDA"/>
    <w:rsid w:val="6B294214"/>
    <w:rsid w:val="6B7E1FC4"/>
    <w:rsid w:val="6BA26461"/>
    <w:rsid w:val="6BAB7C23"/>
    <w:rsid w:val="6BB12762"/>
    <w:rsid w:val="6C0304E5"/>
    <w:rsid w:val="6C0E680A"/>
    <w:rsid w:val="6C453685"/>
    <w:rsid w:val="6C7F27C1"/>
    <w:rsid w:val="6CC13D6C"/>
    <w:rsid w:val="6CD96D3D"/>
    <w:rsid w:val="6D210DEB"/>
    <w:rsid w:val="6D291F27"/>
    <w:rsid w:val="6D3E7412"/>
    <w:rsid w:val="6D5107E3"/>
    <w:rsid w:val="6D651316"/>
    <w:rsid w:val="6D927E0C"/>
    <w:rsid w:val="6E460490"/>
    <w:rsid w:val="6E751249"/>
    <w:rsid w:val="6F5444B9"/>
    <w:rsid w:val="6F766204"/>
    <w:rsid w:val="6FB61E9A"/>
    <w:rsid w:val="6FCE5C32"/>
    <w:rsid w:val="703B0CC9"/>
    <w:rsid w:val="703C025C"/>
    <w:rsid w:val="70847451"/>
    <w:rsid w:val="70B33009"/>
    <w:rsid w:val="714E17B3"/>
    <w:rsid w:val="718E38C1"/>
    <w:rsid w:val="724A6EA6"/>
    <w:rsid w:val="72BB69E5"/>
    <w:rsid w:val="72E53BA2"/>
    <w:rsid w:val="72EA70B3"/>
    <w:rsid w:val="735A2905"/>
    <w:rsid w:val="73AF60EA"/>
    <w:rsid w:val="73B3567F"/>
    <w:rsid w:val="73D30E6F"/>
    <w:rsid w:val="73FD76F6"/>
    <w:rsid w:val="74341977"/>
    <w:rsid w:val="745024DA"/>
    <w:rsid w:val="74677C6E"/>
    <w:rsid w:val="747C145A"/>
    <w:rsid w:val="74A2488A"/>
    <w:rsid w:val="74BD4C88"/>
    <w:rsid w:val="74F80AF6"/>
    <w:rsid w:val="750A5485"/>
    <w:rsid w:val="756B5A25"/>
    <w:rsid w:val="75782B1D"/>
    <w:rsid w:val="759628F2"/>
    <w:rsid w:val="764104DD"/>
    <w:rsid w:val="76BF007E"/>
    <w:rsid w:val="76E4507E"/>
    <w:rsid w:val="77543358"/>
    <w:rsid w:val="788E319D"/>
    <w:rsid w:val="78CC1DBD"/>
    <w:rsid w:val="78E23707"/>
    <w:rsid w:val="795705E6"/>
    <w:rsid w:val="796827D1"/>
    <w:rsid w:val="798B77C7"/>
    <w:rsid w:val="79A21549"/>
    <w:rsid w:val="7A603229"/>
    <w:rsid w:val="7A7817F4"/>
    <w:rsid w:val="7A7F4A5A"/>
    <w:rsid w:val="7A874239"/>
    <w:rsid w:val="7AC94FD1"/>
    <w:rsid w:val="7AFC6152"/>
    <w:rsid w:val="7B1A449A"/>
    <w:rsid w:val="7B851BB4"/>
    <w:rsid w:val="7BED7882"/>
    <w:rsid w:val="7C0F4D5A"/>
    <w:rsid w:val="7C137B31"/>
    <w:rsid w:val="7C280E63"/>
    <w:rsid w:val="7C9C43A8"/>
    <w:rsid w:val="7CBB74A4"/>
    <w:rsid w:val="7D38345D"/>
    <w:rsid w:val="7D8B0EC1"/>
    <w:rsid w:val="7DA3351A"/>
    <w:rsid w:val="7DBF3854"/>
    <w:rsid w:val="7DFE39FB"/>
    <w:rsid w:val="7E253292"/>
    <w:rsid w:val="7E8015D6"/>
    <w:rsid w:val="7E990819"/>
    <w:rsid w:val="7EC837EF"/>
    <w:rsid w:val="7F177BCA"/>
    <w:rsid w:val="7F622FD8"/>
    <w:rsid w:val="7F902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semiHidden/>
    <w:unhideWhenUsed/>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semiHidden/>
    <w:unhideWhenUsed/>
    <w:qFormat/>
    <w:uiPriority w:val="0"/>
    <w:pPr>
      <w:keepNext/>
      <w:keepLines/>
      <w:spacing w:before="260" w:after="260" w:line="415"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rPr>
  </w:style>
  <w:style w:type="paragraph" w:styleId="6">
    <w:name w:val="caption"/>
    <w:basedOn w:val="1"/>
    <w:next w:val="1"/>
    <w:semiHidden/>
    <w:unhideWhenUsed/>
    <w:qFormat/>
    <w:uiPriority w:val="0"/>
    <w:pPr>
      <w:spacing w:before="152" w:after="160"/>
    </w:pPr>
    <w:rPr>
      <w:rFonts w:ascii="Arial" w:hAnsi="Arial" w:eastAsia="黑体" w:cs="Arial"/>
      <w:sz w:val="20"/>
      <w:szCs w:val="20"/>
    </w:rPr>
  </w:style>
  <w:style w:type="paragraph" w:styleId="7">
    <w:name w:val="toa heading"/>
    <w:basedOn w:val="1"/>
    <w:next w:val="1"/>
    <w:qFormat/>
    <w:uiPriority w:val="0"/>
    <w:rPr>
      <w:rFonts w:ascii="Arial" w:hAnsi="Arial"/>
      <w:sz w:val="24"/>
      <w:szCs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line="500" w:lineRule="exact"/>
      <w:ind w:left="1588" w:leftChars="832" w:firstLine="433" w:firstLineChars="196"/>
    </w:pPr>
    <w:rPr>
      <w:sz w:val="24"/>
    </w:rPr>
  </w:style>
  <w:style w:type="paragraph" w:styleId="11">
    <w:name w:val="toc 3"/>
    <w:basedOn w:val="1"/>
    <w:next w:val="1"/>
    <w:qFormat/>
    <w:uiPriority w:val="0"/>
    <w:pPr>
      <w:ind w:left="840" w:leftChars="400"/>
    </w:pPr>
  </w:style>
  <w:style w:type="paragraph" w:styleId="12">
    <w:name w:val="Plain Text"/>
    <w:basedOn w:val="1"/>
    <w:qFormat/>
    <w:uiPriority w:val="0"/>
    <w:rPr>
      <w:rFonts w:ascii="Courier New" w:hAnsi="Courier New"/>
      <w:kern w:val="0"/>
      <w:sz w:val="20"/>
      <w:szCs w:val="20"/>
    </w:rPr>
  </w:style>
  <w:style w:type="paragraph" w:styleId="13">
    <w:name w:val="Date"/>
    <w:basedOn w:val="1"/>
    <w:next w:val="1"/>
    <w:qFormat/>
    <w:uiPriority w:val="0"/>
    <w:pPr>
      <w:ind w:left="100" w:leftChars="25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before="120" w:after="120"/>
      <w:jc w:val="left"/>
    </w:pPr>
    <w:rPr>
      <w:b/>
      <w:bCs/>
      <w:caps/>
      <w:sz w:val="20"/>
    </w:rPr>
  </w:style>
  <w:style w:type="paragraph" w:styleId="17">
    <w:name w:val="Body Text Indent 3"/>
    <w:basedOn w:val="1"/>
    <w:qFormat/>
    <w:uiPriority w:val="0"/>
    <w:pPr>
      <w:spacing w:after="120"/>
      <w:ind w:left="420" w:leftChars="200"/>
    </w:pPr>
    <w:rPr>
      <w:sz w:val="16"/>
      <w:szCs w:val="16"/>
    </w:rPr>
  </w:style>
  <w:style w:type="paragraph" w:styleId="18">
    <w:name w:val="toc 2"/>
    <w:basedOn w:val="1"/>
    <w:next w:val="1"/>
    <w:qFormat/>
    <w:uiPriority w:val="0"/>
    <w:pPr>
      <w:ind w:left="420" w:leftChars="200"/>
    </w:pPr>
  </w:style>
  <w:style w:type="character" w:styleId="21">
    <w:name w:val="page number"/>
    <w:basedOn w:val="20"/>
    <w:qFormat/>
    <w:uiPriority w:val="0"/>
  </w:style>
  <w:style w:type="character" w:styleId="22">
    <w:name w:val="Hyperlink"/>
    <w:basedOn w:val="20"/>
    <w:qFormat/>
    <w:uiPriority w:val="0"/>
    <w:rPr>
      <w:color w:val="0000FF"/>
      <w:u w:val="none"/>
    </w:rPr>
  </w:style>
  <w:style w:type="paragraph" w:customStyle="1" w:styleId="2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
    <w:name w:val="样式7"/>
    <w:basedOn w:val="1"/>
    <w:qFormat/>
    <w:uiPriority w:val="0"/>
    <w:pPr>
      <w:spacing w:line="480" w:lineRule="exact"/>
      <w:jc w:val="center"/>
    </w:pPr>
    <w:rPr>
      <w:rFonts w:eastAsia="方正大标宋简体"/>
      <w:spacing w:val="6"/>
      <w:sz w:val="44"/>
    </w:rPr>
  </w:style>
  <w:style w:type="paragraph" w:customStyle="1" w:styleId="25">
    <w:name w:val="正文格式"/>
    <w:basedOn w:val="1"/>
    <w:qFormat/>
    <w:uiPriority w:val="0"/>
    <w:pPr>
      <w:widowControl/>
      <w:adjustRightInd w:val="0"/>
      <w:snapToGrid w:val="0"/>
      <w:spacing w:line="400" w:lineRule="atLeast"/>
      <w:ind w:firstLine="482"/>
      <w:textAlignment w:val="baseline"/>
    </w:pPr>
    <w:rPr>
      <w:rFonts w:ascii="Calibri" w:hAnsi="Calibri" w:eastAsia="宋体" w:cs="Times New Roman"/>
      <w:kern w:val="0"/>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46</Pages>
  <Words>3154</Words>
  <Characters>17980</Characters>
  <Lines>149</Lines>
  <Paragraphs>42</Paragraphs>
  <TotalTime>0</TotalTime>
  <ScaleCrop>false</ScaleCrop>
  <LinksUpToDate>false</LinksUpToDate>
  <CharactersWithSpaces>21092</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2018-03-14T04:45:00Z</dcterms:created>
  <dc:creator>绿军装的梦</dc:creator>
  <cp:lastModifiedBy>绿军装的梦</cp:lastModifiedBy>
  <cp:lastPrinted>2018-06-08T07:15:00Z</cp:lastPrinted>
  <dcterms:modified xsi:type="dcterms:W3CDTF">2019-05-22T06:23:59Z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