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9460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460" w:type="dxa"/>
            <w:noWrap w:val="0"/>
            <w:vAlign w:val="top"/>
          </w:tcPr>
          <w:p>
            <w:pPr>
              <w:widowControl/>
              <w:spacing w:line="40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</w:rPr>
              <w:t>济宁医学院2022级新生公寓用品采购项目</w:t>
            </w:r>
            <w:bookmarkEnd w:id="0"/>
            <w:r>
              <w:rPr>
                <w:rFonts w:hint="eastAsia" w:ascii="仿宋" w:hAnsi="仿宋" w:eastAsia="仿宋" w:cs="仿宋"/>
                <w:sz w:val="24"/>
              </w:rPr>
              <w:t>的潜在供应商应在kunlun006@126.com获取采购文件，并于2022年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日09:30:00（北京时间）前提交响应文件。</w:t>
            </w:r>
          </w:p>
        </w:tc>
      </w:tr>
    </w:tbl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一、项目基本情况：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项目编号：JYKL-2022-0607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项目名称：济宁医学院2022级新生公寓用品采购项目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采购方式：竞争性磋商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采购需求：</w:t>
      </w:r>
      <w:r>
        <w:rPr>
          <w:rFonts w:hint="eastAsia" w:ascii="仿宋" w:hAnsi="仿宋" w:eastAsia="仿宋" w:cs="仿宋"/>
          <w:sz w:val="24"/>
        </w:rPr>
        <w:tab/>
      </w:r>
    </w:p>
    <w:tbl>
      <w:tblPr>
        <w:tblStyle w:val="4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790"/>
        <w:gridCol w:w="1451"/>
        <w:gridCol w:w="1209"/>
        <w:gridCol w:w="306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485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标的</w:t>
            </w:r>
          </w:p>
        </w:tc>
        <w:tc>
          <w:tcPr>
            <w:tcW w:w="891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742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数量</w:t>
            </w:r>
          </w:p>
        </w:tc>
        <w:tc>
          <w:tcPr>
            <w:tcW w:w="1879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简要技术需求或服务要求</w:t>
            </w:r>
          </w:p>
        </w:tc>
        <w:tc>
          <w:tcPr>
            <w:tcW w:w="1000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预算金额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485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A</w:t>
            </w:r>
          </w:p>
        </w:tc>
        <w:tc>
          <w:tcPr>
            <w:tcW w:w="891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济宁医学院2022级新生公寓用品</w:t>
            </w:r>
          </w:p>
        </w:tc>
        <w:tc>
          <w:tcPr>
            <w:tcW w:w="742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约2500套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据实结算</w:t>
            </w:r>
          </w:p>
        </w:tc>
        <w:tc>
          <w:tcPr>
            <w:tcW w:w="1879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采购内容包括：棉被、棉褥、夏凉被、床单、被套、枕套、枕芯、枕巾、蚊帐、硬质棉床垫、卧具包、竹凉席、暖瓶、脸盆；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详见磋商文件</w:t>
            </w:r>
          </w:p>
        </w:tc>
        <w:tc>
          <w:tcPr>
            <w:tcW w:w="1000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695元/套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,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约120万元，据实结算</w:t>
            </w:r>
          </w:p>
        </w:tc>
      </w:tr>
    </w:tbl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合同履行期限：详见磋商文件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本项目不接受联合体投标。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二、申请人的资格要求：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1、满足《中华人民共和国政府采购法》第二十二条规定；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 2、落实政府采购政策需满足的资格要求：详见磋商文件 </w:t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3、本项目的特定资格要求：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（1）具备有效的营业执照；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（2）一个供应商只能提交一个响应文件。如果供应商之间存在下列互为关联（国有控股公司除外）的情形之一的，不得同时参加本项目报价：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1)法定代表人为同一人的两个及两个以上法人；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2)母公司、直接或间接持股50%及以上的被投资公司；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3)均为同一家母公司直接或间接持股50%及以上的被投资公司；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（3）截止到磋商当日，供应商（含法定代表人）未被各地人民法院、税务等国家行政机关列入失信名单或诚信黑榜（供应商不必提供证明）；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（4）供应商近三年存在行贿犯罪记录的按有关规定处理；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（5）公开报价之日起前三年内无不良信用记录（通过“信用中国”“信用山东”及“中国政府采购网”等查询）；</w:t>
      </w:r>
    </w:p>
    <w:p>
      <w:pPr>
        <w:widowControl/>
        <w:spacing w:line="400" w:lineRule="exact"/>
        <w:ind w:firstLine="480" w:firstLineChars="200"/>
        <w:rPr>
          <w:rStyle w:val="6"/>
          <w:rFonts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（6）本项目不接受联合体磋商。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 w:ascii="仿宋" w:hAnsi="仿宋" w:eastAsia="仿宋" w:cs="仿宋"/>
          <w:highlight w:val="none"/>
        </w:rPr>
        <w:t>（7）供应商近三年有不按合同要求履约情况的</w:t>
      </w:r>
      <w:r>
        <w:rPr>
          <w:rFonts w:hint="eastAsia" w:ascii="仿宋" w:hAnsi="仿宋" w:eastAsia="仿宋" w:cs="仿宋"/>
          <w:highlight w:val="none"/>
          <w:lang w:val="en-US" w:eastAsia="zh-CN"/>
        </w:rPr>
        <w:t>不得参与本次磋商。</w:t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三、获取采购文件：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1.时间：2022年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日至2022年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日17时00分，每天上午08:30至12:00，下午14:00至17:00（北京时间，法定节假日除外 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2.地点：kunlun006@126.com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3.方式：供应商将营业执照、授权委托书及被授权人身份证、联系人、联系方式及标书费转账凭证扫描件打包（以项目编号+公司名称命名）发送至kunlun006@126.com。</w:t>
      </w:r>
      <w:r>
        <w:rPr>
          <w:rStyle w:val="6"/>
          <w:rFonts w:hint="eastAsia" w:ascii="仿宋" w:hAnsi="仿宋" w:eastAsia="仿宋"/>
          <w:sz w:val="24"/>
        </w:rPr>
        <w:t>报名审核通过（报名审核通过不代表资格审查通过）后，1个工作日内将竞争性磋商文件发送至报名邮箱。本项目实行资格后审，报名成功不代表通过资格审查。</w:t>
      </w:r>
      <w:r>
        <w:rPr>
          <w:rStyle w:val="6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4.采购文件售价400元/份，报名时交纳，售后不退。</w:t>
      </w:r>
    </w:p>
    <w:p>
      <w:pPr>
        <w:widowControl/>
        <w:spacing w:line="400" w:lineRule="exact"/>
        <w:ind w:firstLine="480" w:firstLineChars="200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widowControl/>
        <w:spacing w:line="400" w:lineRule="exact"/>
        <w:ind w:firstLine="480" w:firstLineChars="200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widowControl/>
        <w:spacing w:line="400" w:lineRule="exact"/>
        <w:ind w:firstLine="480" w:firstLineChars="200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四、响应文件提交：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1.截止时间：2022年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日09:00--9:30分（北京时间）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2.地    点：济宁市任城区关帝庙金融街3号楼302会议室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五、开启：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1.开启时间：2022年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日9:30分（北京时间）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2.开启地点：济宁市任城区关帝庙金融街3号楼302会议室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六、公告期限：</w:t>
      </w:r>
      <w:r>
        <w:rPr>
          <w:rFonts w:hint="eastAsia" w:ascii="仿宋" w:hAnsi="仿宋" w:eastAsia="仿宋" w:cs="仿宋"/>
          <w:b/>
          <w:bCs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自本公告发布之日起3个工作日。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七、其他补充事宜：</w:t>
      </w:r>
      <w:r>
        <w:rPr>
          <w:rFonts w:hint="eastAsia" w:ascii="仿宋" w:hAnsi="仿宋" w:eastAsia="仿宋" w:cs="仿宋"/>
          <w:sz w:val="24"/>
        </w:rPr>
        <w:t>无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1、采购人信息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名    称：济宁医学院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地    址：山东省济宁市任城区荷花路133号</w:t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 联系方式：0537-3616133(济宁医学院) </w:t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2、采购代理机构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名    称：昆仑项目管理（山东）有限公司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联系方式：0537-2616518</w:t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3、项目联系方式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项目联系人：孙越</w:t>
      </w:r>
      <w:r>
        <w:rPr>
          <w:rFonts w:hint="eastAsia" w:ascii="仿宋" w:hAnsi="仿宋" w:eastAsia="仿宋" w:cs="仿宋"/>
          <w:sz w:val="24"/>
        </w:rPr>
        <w:tab/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联系方式：0537-2616518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D4FF4"/>
    <w:rsid w:val="472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2022-07-08T10:13:00Z</dcterms:created>
  <dc:creator>大瑶瑶</dc:creator>
  <cp:lastModifiedBy>大瑶瑶</cp:lastModifiedBy>
  <dcterms:modified xsi:type="dcterms:W3CDTF">2022-07-08T10:13:37Z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85BF4A14D18C40778686EA0F48400B4E</vt:lpwstr>
  </property>
</Properties>
</file>