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济宁医学院202008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11</w:t>
      </w:r>
      <w:r>
        <w:rPr>
          <w:rFonts w:hint="eastAsia" w:ascii="黑体" w:eastAsia="黑体"/>
          <w:b/>
          <w:sz w:val="36"/>
          <w:szCs w:val="36"/>
        </w:rPr>
        <w:t>任城校区饮水机采购项目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济宁医学院20200811任城校区饮水机采购项目，欢迎各供应商参与报价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产品规格、采购数量:详见附表。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预算：人民币15000元。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其他：供应商负责送货、安装到位。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供货期：确定采购结果后3个日历日。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济宁医学院202008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任城校区饮水机采购项目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2020年8月11日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附表：</w:t>
      </w: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770"/>
        <w:gridCol w:w="3472"/>
        <w:gridCol w:w="88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34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商用电开水器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安吉尔AHR27-2030K2</w:t>
            </w:r>
          </w:p>
        </w:tc>
        <w:tc>
          <w:tcPr>
            <w:tcW w:w="34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一体化设计，改变传统水处理占地面积大，结构松散的问题；自动化程度高，遇故障即可停机、具有自动保护功能；采用RO反渗透技术，保证饮水安全健康；配有自动冲洗控制系统，运行成本低；步进式加热，逐层进水逐层加热，出水温度在90度以上；五级过滤，有效滤除水中重金属、余氯、细菌、水垢等有害物质，微电脑程控设计，个性化仰角，LED高亮显示屏，集滤芯寿命、当前时间、故障提示、温度显示于一体；触控式按键、简约美观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分类：立式净水机，适用水源：市政自来水；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加热方式：电热式，一热一常温；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容量：热胆容量20L，常温出水量32L/h，开水出水量30L/h；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除水垢：支持；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产水量：250L/h；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额定功率：3300W；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电压：220V/50Hz；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滤芯：PP棉+活性炭+PP棉+RO膜+T33；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外形尺寸（长*宽*高）：500*463*1537。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1台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15000</w:t>
            </w:r>
          </w:p>
        </w:tc>
      </w:tr>
    </w:tbl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D57D18"/>
    <w:multiLevelType w:val="singleLevel"/>
    <w:tmpl w:val="C3D57D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0E665902"/>
    <w:rsid w:val="11FB39F9"/>
    <w:rsid w:val="177A595C"/>
    <w:rsid w:val="17A9193B"/>
    <w:rsid w:val="18AA659A"/>
    <w:rsid w:val="1F3D1423"/>
    <w:rsid w:val="219E531A"/>
    <w:rsid w:val="2A5F204A"/>
    <w:rsid w:val="2AEA117B"/>
    <w:rsid w:val="30574AE1"/>
    <w:rsid w:val="30747E99"/>
    <w:rsid w:val="322C5D05"/>
    <w:rsid w:val="35F81EFA"/>
    <w:rsid w:val="368B7D65"/>
    <w:rsid w:val="37E613D9"/>
    <w:rsid w:val="385B5A68"/>
    <w:rsid w:val="46A5427C"/>
    <w:rsid w:val="47D26812"/>
    <w:rsid w:val="49AE3FD6"/>
    <w:rsid w:val="4BDF7063"/>
    <w:rsid w:val="50F269A0"/>
    <w:rsid w:val="527D2064"/>
    <w:rsid w:val="53320378"/>
    <w:rsid w:val="55375F2E"/>
    <w:rsid w:val="574700BC"/>
    <w:rsid w:val="59973ED7"/>
    <w:rsid w:val="631527DD"/>
    <w:rsid w:val="68A439BA"/>
    <w:rsid w:val="712E141F"/>
    <w:rsid w:val="71BD6B77"/>
    <w:rsid w:val="723B56D4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16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2020-08-11T00:59:54Z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