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wordWrap w:val="0"/>
        <w:spacing w:line="240" w:lineRule="atLeast"/>
        <w:jc w:val="right"/>
        <w:outlineLvl w:val="0"/>
        <w:rPr>
          <w:rFonts w:hint="eastAsia" w:ascii="黑体" w:hAnsi="黑体" w:eastAsia="黑体" w:cs="黑体"/>
          <w:b/>
          <w:color w:val="auto"/>
          <w:sz w:val="44"/>
          <w:szCs w:val="44"/>
          <w:highlight w:val="none"/>
        </w:rPr>
      </w:pPr>
      <w:bookmarkStart w:id="0" w:name="_Toc443898901"/>
    </w:p>
    <w:p>
      <w:pPr>
        <w:spacing w:before="580" w:beforeLines="200" w:after="580" w:afterLines="200" w:line="480" w:lineRule="auto"/>
        <w:jc w:val="center"/>
        <w:rPr>
          <w:rFonts w:hint="eastAsia" w:ascii="黑体" w:eastAsia="黑体" w:cs="Arial"/>
          <w:b/>
          <w:color w:val="auto"/>
          <w:spacing w:val="-6"/>
          <w:sz w:val="56"/>
          <w:szCs w:val="56"/>
          <w:highlight w:val="none"/>
        </w:rPr>
      </w:pPr>
    </w:p>
    <w:p>
      <w:pPr>
        <w:spacing w:before="580" w:beforeLines="200" w:after="580" w:afterLines="200" w:line="480" w:lineRule="auto"/>
        <w:jc w:val="center"/>
        <w:rPr>
          <w:rFonts w:hint="eastAsia" w:ascii="黑体" w:hAnsi="宋体" w:eastAsia="黑体"/>
          <w:b/>
          <w:color w:val="auto"/>
          <w:sz w:val="72"/>
          <w:szCs w:val="72"/>
          <w:highlight w:val="none"/>
        </w:rPr>
      </w:pPr>
      <w:r>
        <w:rPr>
          <w:rFonts w:hint="eastAsia" w:ascii="黑体" w:eastAsia="黑体" w:cs="Arial"/>
          <w:b/>
          <w:color w:val="auto"/>
          <w:spacing w:val="-6"/>
          <w:sz w:val="56"/>
          <w:szCs w:val="56"/>
          <w:highlight w:val="none"/>
        </w:rPr>
        <w:t>济宁医学院</w:t>
      </w:r>
      <w:r>
        <w:rPr>
          <w:rFonts w:hint="eastAsia" w:ascii="黑体" w:eastAsia="黑体" w:cs="Arial"/>
          <w:b/>
          <w:color w:val="auto"/>
          <w:spacing w:val="-6"/>
          <w:sz w:val="56"/>
          <w:szCs w:val="56"/>
          <w:highlight w:val="none"/>
          <w:lang w:eastAsia="zh-CN"/>
        </w:rPr>
        <w:t>日照校区</w:t>
      </w:r>
      <w:r>
        <w:rPr>
          <w:rFonts w:hint="eastAsia" w:ascii="黑体" w:eastAsia="黑体" w:cs="Arial"/>
          <w:b/>
          <w:color w:val="auto"/>
          <w:spacing w:val="-6"/>
          <w:sz w:val="56"/>
          <w:szCs w:val="56"/>
          <w:highlight w:val="none"/>
        </w:rPr>
        <w:t>车辆定点维修服务采购项目</w:t>
      </w:r>
    </w:p>
    <w:p>
      <w:pPr>
        <w:spacing w:before="580" w:beforeLines="200" w:after="580" w:afterLines="200" w:line="480" w:lineRule="auto"/>
        <w:jc w:val="center"/>
        <w:rPr>
          <w:rFonts w:ascii="黑体" w:hAnsi="宋体" w:eastAsia="黑体"/>
          <w:b/>
          <w:color w:val="auto"/>
          <w:sz w:val="72"/>
          <w:szCs w:val="72"/>
          <w:highlight w:val="none"/>
        </w:rPr>
      </w:pPr>
      <w:r>
        <w:rPr>
          <w:rFonts w:hint="eastAsia" w:ascii="黑体" w:hAnsi="宋体" w:eastAsia="黑体"/>
          <w:b/>
          <w:color w:val="auto"/>
          <w:sz w:val="72"/>
          <w:szCs w:val="72"/>
          <w:highlight w:val="none"/>
        </w:rPr>
        <w:t>竞争性磋商文件</w:t>
      </w:r>
    </w:p>
    <w:p>
      <w:pPr>
        <w:widowControl/>
        <w:spacing w:before="435" w:beforeLines="150" w:after="435" w:afterLines="150" w:line="360" w:lineRule="auto"/>
        <w:jc w:val="center"/>
        <w:rPr>
          <w:rFonts w:ascii="黑体" w:hAnsi="宋体" w:eastAsia="黑体"/>
          <w:b/>
          <w:color w:val="auto"/>
          <w:sz w:val="36"/>
          <w:szCs w:val="36"/>
          <w:highlight w:val="none"/>
        </w:rPr>
      </w:pPr>
    </w:p>
    <w:p>
      <w:pPr>
        <w:widowControl/>
        <w:spacing w:before="435" w:beforeLines="150" w:after="435" w:afterLines="150" w:line="360" w:lineRule="auto"/>
        <w:jc w:val="center"/>
        <w:rPr>
          <w:rFonts w:hint="default" w:ascii="黑体" w:hAnsi="宋体" w:eastAsia="黑体"/>
          <w:b/>
          <w:color w:val="auto"/>
          <w:sz w:val="28"/>
          <w:szCs w:val="28"/>
          <w:highlight w:val="none"/>
          <w:u w:val="single"/>
          <w:lang w:val="en-US" w:eastAsia="zh-CN"/>
        </w:rPr>
      </w:pPr>
      <w:r>
        <w:rPr>
          <w:rFonts w:hint="eastAsia" w:ascii="黑体" w:hAnsi="宋体" w:eastAsia="黑体"/>
          <w:b/>
          <w:color w:val="auto"/>
          <w:sz w:val="28"/>
          <w:szCs w:val="28"/>
          <w:highlight w:val="none"/>
        </w:rPr>
        <w:t>项目编号:</w:t>
      </w:r>
      <w:r>
        <w:rPr>
          <w:color w:val="auto"/>
          <w:highlight w:val="none"/>
        </w:rPr>
        <w:t xml:space="preserve"> </w:t>
      </w:r>
      <w:r>
        <w:rPr>
          <w:rFonts w:ascii="黑体" w:hAnsi="宋体" w:eastAsia="黑体"/>
          <w:b/>
          <w:color w:val="auto"/>
          <w:sz w:val="28"/>
          <w:szCs w:val="28"/>
          <w:highlight w:val="none"/>
        </w:rPr>
        <w:t>HT-201</w:t>
      </w:r>
      <w:r>
        <w:rPr>
          <w:rFonts w:hint="eastAsia" w:ascii="黑体" w:hAnsi="宋体" w:eastAsia="黑体"/>
          <w:b/>
          <w:color w:val="auto"/>
          <w:sz w:val="28"/>
          <w:szCs w:val="28"/>
          <w:highlight w:val="none"/>
          <w:lang w:val="en-US" w:eastAsia="zh-CN"/>
        </w:rPr>
        <w:t>9</w:t>
      </w:r>
      <w:r>
        <w:rPr>
          <w:rFonts w:ascii="黑体" w:hAnsi="宋体" w:eastAsia="黑体"/>
          <w:b/>
          <w:color w:val="auto"/>
          <w:sz w:val="28"/>
          <w:szCs w:val="28"/>
          <w:highlight w:val="none"/>
        </w:rPr>
        <w:t>-CG-</w:t>
      </w:r>
      <w:r>
        <w:rPr>
          <w:rFonts w:hint="eastAsia" w:ascii="黑体" w:hAnsi="宋体" w:eastAsia="黑体"/>
          <w:b/>
          <w:color w:val="auto"/>
          <w:sz w:val="28"/>
          <w:szCs w:val="28"/>
          <w:highlight w:val="none"/>
          <w:lang w:val="en-US" w:eastAsia="zh-CN"/>
        </w:rPr>
        <w:t>162</w:t>
      </w:r>
    </w:p>
    <w:p>
      <w:pPr>
        <w:spacing w:before="290" w:beforeLines="100" w:line="480" w:lineRule="auto"/>
        <w:rPr>
          <w:rFonts w:ascii="黑体" w:hAnsi="宋体" w:eastAsia="黑体"/>
          <w:b/>
          <w:bCs/>
          <w:color w:val="auto"/>
          <w:sz w:val="36"/>
          <w:szCs w:val="36"/>
          <w:highlight w:val="none"/>
        </w:rPr>
      </w:pPr>
    </w:p>
    <w:p>
      <w:pPr>
        <w:spacing w:before="290" w:beforeLines="100" w:line="480" w:lineRule="auto"/>
        <w:rPr>
          <w:rFonts w:ascii="黑体" w:hAnsi="宋体" w:eastAsia="黑体"/>
          <w:b/>
          <w:bCs/>
          <w:color w:val="auto"/>
          <w:sz w:val="36"/>
          <w:szCs w:val="36"/>
          <w:highlight w:val="none"/>
        </w:rPr>
      </w:pPr>
    </w:p>
    <w:p>
      <w:pPr>
        <w:spacing w:before="290" w:beforeLines="100" w:line="480" w:lineRule="auto"/>
        <w:rPr>
          <w:rFonts w:ascii="黑体" w:hAnsi="宋体" w:eastAsia="黑体"/>
          <w:b/>
          <w:bCs/>
          <w:color w:val="auto"/>
          <w:sz w:val="36"/>
          <w:szCs w:val="36"/>
          <w:highlight w:val="none"/>
        </w:rPr>
      </w:pPr>
    </w:p>
    <w:p>
      <w:pPr>
        <w:spacing w:line="600" w:lineRule="auto"/>
        <w:ind w:firstLine="1606" w:firstLineChars="500"/>
        <w:rPr>
          <w:rFonts w:ascii="黑体" w:hAnsi="黑体" w:eastAsia="黑体"/>
          <w:b/>
          <w:bCs/>
          <w:color w:val="auto"/>
          <w:spacing w:val="4"/>
          <w:sz w:val="32"/>
          <w:szCs w:val="32"/>
          <w:highlight w:val="none"/>
          <w:u w:val="single"/>
        </w:rPr>
      </w:pPr>
      <w:r>
        <w:rPr>
          <w:rFonts w:hint="eastAsia" w:ascii="黑体" w:hAnsi="宋体" w:eastAsia="黑体"/>
          <w:b/>
          <w:bCs/>
          <w:color w:val="auto"/>
          <w:sz w:val="32"/>
          <w:szCs w:val="32"/>
          <w:highlight w:val="none"/>
        </w:rPr>
        <w:t>采 购 人：济宁医学院</w:t>
      </w:r>
    </w:p>
    <w:p>
      <w:pPr>
        <w:spacing w:line="600" w:lineRule="auto"/>
        <w:ind w:firstLine="1606" w:firstLineChars="500"/>
        <w:rPr>
          <w:rFonts w:ascii="宋体" w:hAnsi="宋体"/>
          <w:b/>
          <w:color w:val="auto"/>
          <w:spacing w:val="-20"/>
          <w:sz w:val="32"/>
          <w:szCs w:val="32"/>
          <w:highlight w:val="none"/>
        </w:rPr>
      </w:pPr>
      <w:r>
        <w:rPr>
          <w:rFonts w:hint="eastAsia" w:ascii="黑体" w:hAnsi="宋体" w:eastAsia="黑体"/>
          <w:b/>
          <w:bCs/>
          <w:color w:val="auto"/>
          <w:sz w:val="32"/>
          <w:szCs w:val="32"/>
          <w:highlight w:val="none"/>
        </w:rPr>
        <w:t>代理机构：</w:t>
      </w:r>
      <w:r>
        <w:rPr>
          <w:rFonts w:hint="eastAsia" w:ascii="黑体" w:hAnsi="黑体" w:eastAsia="黑体"/>
          <w:b/>
          <w:bCs/>
          <w:color w:val="auto"/>
          <w:spacing w:val="-12"/>
          <w:sz w:val="32"/>
          <w:szCs w:val="32"/>
          <w:highlight w:val="none"/>
        </w:rPr>
        <w:t>山东衡天咨询有限公司</w:t>
      </w:r>
    </w:p>
    <w:p>
      <w:pPr>
        <w:tabs>
          <w:tab w:val="left" w:pos="6660"/>
        </w:tabs>
        <w:snapToGrid w:val="0"/>
        <w:spacing w:line="600" w:lineRule="auto"/>
        <w:jc w:val="center"/>
        <w:rPr>
          <w:rFonts w:eastAsia="黑体"/>
          <w:color w:val="auto"/>
          <w:kern w:val="0"/>
          <w:sz w:val="46"/>
          <w:szCs w:val="18"/>
          <w:highlight w:val="none"/>
        </w:rPr>
      </w:pPr>
      <w:r>
        <w:rPr>
          <w:rFonts w:hint="eastAsia" w:ascii="黑体" w:eastAsia="黑体"/>
          <w:b/>
          <w:bCs/>
          <w:color w:val="auto"/>
          <w:spacing w:val="40"/>
          <w:sz w:val="32"/>
          <w:szCs w:val="32"/>
          <w:highlight w:val="none"/>
        </w:rPr>
        <w:t>二〇一</w:t>
      </w:r>
      <w:r>
        <w:rPr>
          <w:rFonts w:hint="eastAsia" w:ascii="黑体" w:eastAsia="黑体"/>
          <w:b/>
          <w:bCs/>
          <w:color w:val="auto"/>
          <w:spacing w:val="40"/>
          <w:sz w:val="32"/>
          <w:szCs w:val="32"/>
          <w:highlight w:val="none"/>
          <w:lang w:eastAsia="zh-CN"/>
        </w:rPr>
        <w:t>九</w:t>
      </w:r>
      <w:r>
        <w:rPr>
          <w:rFonts w:hint="eastAsia" w:ascii="黑体" w:eastAsia="黑体"/>
          <w:b/>
          <w:bCs/>
          <w:color w:val="auto"/>
          <w:spacing w:val="40"/>
          <w:sz w:val="32"/>
          <w:szCs w:val="32"/>
          <w:highlight w:val="none"/>
        </w:rPr>
        <w:t>年</w:t>
      </w:r>
      <w:r>
        <w:rPr>
          <w:rFonts w:hint="eastAsia" w:ascii="黑体" w:eastAsia="黑体"/>
          <w:b/>
          <w:bCs/>
          <w:color w:val="auto"/>
          <w:spacing w:val="40"/>
          <w:sz w:val="32"/>
          <w:szCs w:val="32"/>
          <w:highlight w:val="none"/>
          <w:lang w:eastAsia="zh-CN"/>
        </w:rPr>
        <w:t>十二</w:t>
      </w:r>
      <w:r>
        <w:rPr>
          <w:rFonts w:hint="eastAsia" w:ascii="黑体" w:eastAsia="黑体"/>
          <w:b/>
          <w:bCs/>
          <w:color w:val="auto"/>
          <w:spacing w:val="40"/>
          <w:sz w:val="32"/>
          <w:szCs w:val="32"/>
          <w:highlight w:val="none"/>
        </w:rPr>
        <w:t>月</w:t>
      </w:r>
      <w:bookmarkEnd w:id="0"/>
    </w:p>
    <w:p>
      <w:pPr>
        <w:autoSpaceDE w:val="0"/>
        <w:autoSpaceDN w:val="0"/>
        <w:adjustRightInd w:val="0"/>
        <w:jc w:val="center"/>
        <w:rPr>
          <w:rFonts w:eastAsia="黑体"/>
          <w:color w:val="auto"/>
          <w:kern w:val="0"/>
          <w:sz w:val="46"/>
          <w:szCs w:val="18"/>
          <w:highlight w:val="none"/>
        </w:rPr>
      </w:pPr>
    </w:p>
    <w:p>
      <w:pPr>
        <w:autoSpaceDE w:val="0"/>
        <w:autoSpaceDN w:val="0"/>
        <w:adjustRightInd w:val="0"/>
        <w:jc w:val="center"/>
        <w:rPr>
          <w:rFonts w:hint="eastAsia" w:eastAsia="黑体"/>
          <w:color w:val="auto"/>
          <w:kern w:val="0"/>
          <w:sz w:val="46"/>
          <w:szCs w:val="18"/>
          <w:highlight w:val="none"/>
        </w:rPr>
        <w:sectPr>
          <w:pgSz w:w="11907" w:h="16840"/>
          <w:pgMar w:top="1304" w:right="1134" w:bottom="1304" w:left="1134" w:header="851" w:footer="851" w:gutter="0"/>
          <w:cols w:space="720" w:num="1"/>
          <w:titlePg/>
          <w:docGrid w:type="lines" w:linePitch="290" w:charSpace="0"/>
        </w:sectPr>
      </w:pPr>
    </w:p>
    <w:p>
      <w:pPr>
        <w:autoSpaceDE w:val="0"/>
        <w:autoSpaceDN w:val="0"/>
        <w:adjustRightInd w:val="0"/>
        <w:jc w:val="center"/>
        <w:rPr>
          <w:rFonts w:eastAsia="黑体"/>
          <w:color w:val="auto"/>
          <w:kern w:val="0"/>
          <w:sz w:val="46"/>
          <w:szCs w:val="18"/>
          <w:highlight w:val="none"/>
        </w:rPr>
      </w:pPr>
      <w:r>
        <w:rPr>
          <w:rFonts w:hint="eastAsia" w:eastAsia="黑体"/>
          <w:color w:val="auto"/>
          <w:kern w:val="0"/>
          <w:sz w:val="46"/>
          <w:szCs w:val="18"/>
          <w:highlight w:val="none"/>
        </w:rPr>
        <w:t>目  录</w:t>
      </w:r>
    </w:p>
    <w:p>
      <w:pPr>
        <w:rPr>
          <w:color w:val="auto"/>
          <w:highlight w:val="none"/>
        </w:rPr>
      </w:pPr>
    </w:p>
    <w:p>
      <w:pPr>
        <w:pStyle w:val="13"/>
        <w:tabs>
          <w:tab w:val="right" w:leader="dot" w:pos="9628"/>
        </w:tabs>
        <w:spacing w:line="480" w:lineRule="auto"/>
        <w:rPr>
          <w:rFonts w:ascii="Calibri" w:hAnsi="Calibri"/>
          <w:color w:val="auto"/>
          <w:sz w:val="28"/>
          <w:szCs w:val="28"/>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p>
    <w:p>
      <w:pPr>
        <w:pStyle w:val="13"/>
        <w:tabs>
          <w:tab w:val="right" w:leader="dot" w:pos="9628"/>
        </w:tabs>
        <w:spacing w:line="480" w:lineRule="auto"/>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"_Toc450115334" </w:instrText>
      </w:r>
      <w:r>
        <w:rPr>
          <w:color w:val="auto"/>
          <w:highlight w:val="none"/>
        </w:rPr>
        <w:fldChar w:fldCharType="separate"/>
      </w:r>
      <w:r>
        <w:rPr>
          <w:rStyle w:val="19"/>
          <w:rFonts w:hint="eastAsia"/>
          <w:color w:val="auto"/>
          <w:sz w:val="28"/>
          <w:szCs w:val="28"/>
          <w:highlight w:val="none"/>
        </w:rPr>
        <w:t>第一章</w:t>
      </w:r>
      <w:r>
        <w:rPr>
          <w:rStyle w:val="19"/>
          <w:rFonts w:hint="eastAsia" w:ascii="宋体" w:hAnsi="宋体"/>
          <w:color w:val="auto"/>
          <w:sz w:val="28"/>
          <w:szCs w:val="28"/>
          <w:highlight w:val="none"/>
        </w:rPr>
        <w:t>竞争性磋商</w:t>
      </w:r>
      <w:r>
        <w:rPr>
          <w:rStyle w:val="19"/>
          <w:rFonts w:hint="eastAsia"/>
          <w:color w:val="auto"/>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_Toc450115334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13"/>
        <w:tabs>
          <w:tab w:val="right" w:leader="dot" w:pos="9628"/>
        </w:tabs>
        <w:spacing w:line="480" w:lineRule="auto"/>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"_Toc450115335" </w:instrText>
      </w:r>
      <w:r>
        <w:rPr>
          <w:color w:val="auto"/>
          <w:highlight w:val="none"/>
        </w:rPr>
        <w:fldChar w:fldCharType="separate"/>
      </w:r>
      <w:r>
        <w:rPr>
          <w:rStyle w:val="19"/>
          <w:rFonts w:hint="eastAsia"/>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_Toc450115335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3"/>
        <w:tabs>
          <w:tab w:val="right" w:leader="dot" w:pos="9628"/>
        </w:tabs>
        <w:spacing w:line="480" w:lineRule="auto"/>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"_Toc450115336" </w:instrText>
      </w:r>
      <w:r>
        <w:rPr>
          <w:color w:val="auto"/>
          <w:highlight w:val="none"/>
        </w:rPr>
        <w:fldChar w:fldCharType="separate"/>
      </w:r>
      <w:r>
        <w:rPr>
          <w:rStyle w:val="19"/>
          <w:rFonts w:hint="eastAsia"/>
          <w:color w:val="auto"/>
          <w:sz w:val="28"/>
          <w:szCs w:val="28"/>
          <w:highlight w:val="none"/>
        </w:rPr>
        <w:t>第三章技术标准和要求</w:t>
      </w:r>
      <w:r>
        <w:rPr>
          <w:color w:val="auto"/>
          <w:sz w:val="28"/>
          <w:szCs w:val="28"/>
          <w:highlight w:val="none"/>
        </w:rPr>
        <w:tab/>
      </w:r>
      <w:r>
        <w:rPr>
          <w:rFonts w:hint="eastAsia"/>
          <w:color w:val="auto"/>
          <w:sz w:val="28"/>
          <w:szCs w:val="28"/>
          <w:highlight w:val="none"/>
          <w:lang w:val="en-US" w:eastAsia="zh-CN"/>
        </w:rPr>
        <w:t xml:space="preserve"> </w:t>
      </w:r>
      <w:r>
        <w:rPr>
          <w:color w:val="auto"/>
          <w:sz w:val="28"/>
          <w:szCs w:val="28"/>
          <w:highlight w:val="none"/>
        </w:rPr>
        <w:fldChar w:fldCharType="end"/>
      </w:r>
      <w:r>
        <w:rPr>
          <w:rFonts w:hint="eastAsia"/>
          <w:color w:val="auto"/>
          <w:sz w:val="28"/>
          <w:szCs w:val="28"/>
          <w:highlight w:val="none"/>
          <w:lang w:val="en-US" w:eastAsia="zh-CN"/>
        </w:rPr>
        <w:t>22</w:t>
      </w:r>
    </w:p>
    <w:p>
      <w:pPr>
        <w:pStyle w:val="13"/>
        <w:tabs>
          <w:tab w:val="right" w:leader="dot" w:pos="9628"/>
        </w:tabs>
        <w:spacing w:line="480" w:lineRule="auto"/>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"_Toc450115337" </w:instrText>
      </w:r>
      <w:r>
        <w:rPr>
          <w:color w:val="auto"/>
          <w:highlight w:val="none"/>
        </w:rPr>
        <w:fldChar w:fldCharType="separate"/>
      </w:r>
      <w:r>
        <w:rPr>
          <w:rStyle w:val="19"/>
          <w:rFonts w:hint="eastAsia"/>
          <w:color w:val="auto"/>
          <w:sz w:val="28"/>
          <w:szCs w:val="28"/>
          <w:highlight w:val="none"/>
        </w:rPr>
        <w:t>第四章合同格式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_Toc450115337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13"/>
        <w:tabs>
          <w:tab w:val="right" w:leader="dot" w:pos="9628"/>
        </w:tabs>
        <w:spacing w:line="480" w:lineRule="auto"/>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"_Toc450115353" </w:instrText>
      </w:r>
      <w:r>
        <w:rPr>
          <w:color w:val="auto"/>
          <w:highlight w:val="none"/>
        </w:rPr>
        <w:fldChar w:fldCharType="separate"/>
      </w:r>
      <w:r>
        <w:rPr>
          <w:rStyle w:val="19"/>
          <w:rFonts w:hint="eastAsia"/>
          <w:color w:val="auto"/>
          <w:sz w:val="28"/>
          <w:szCs w:val="28"/>
          <w:highlight w:val="none"/>
        </w:rPr>
        <w:t>第五章响应文件格式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_Toc450115353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pPr>
        <w:pStyle w:val="13"/>
        <w:tabs>
          <w:tab w:val="right" w:leader="dot" w:pos="9628"/>
        </w:tabs>
        <w:spacing w:line="480" w:lineRule="auto"/>
        <w:rPr>
          <w:rFonts w:ascii="Calibri" w:hAnsi="Calibri"/>
          <w:color w:val="auto"/>
          <w:highlight w:val="none"/>
        </w:rPr>
      </w:pPr>
      <w:r>
        <w:rPr>
          <w:color w:val="auto"/>
          <w:highlight w:val="none"/>
        </w:rPr>
        <w:fldChar w:fldCharType="begin"/>
      </w:r>
      <w:r>
        <w:rPr>
          <w:color w:val="auto"/>
          <w:highlight w:val="none"/>
        </w:rPr>
        <w:instrText xml:space="preserve"> HYPERLINK \l "_Toc450115354" </w:instrText>
      </w:r>
      <w:r>
        <w:rPr>
          <w:color w:val="auto"/>
          <w:highlight w:val="none"/>
        </w:rPr>
        <w:fldChar w:fldCharType="separate"/>
      </w:r>
      <w:r>
        <w:rPr>
          <w:rStyle w:val="19"/>
          <w:rFonts w:hint="eastAsia" w:ascii="宋体" w:hAnsi="宋体"/>
          <w:color w:val="auto"/>
          <w:sz w:val="28"/>
          <w:szCs w:val="28"/>
          <w:highlight w:val="none"/>
        </w:rPr>
        <w:t>第六章评分标准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_Toc450115354 \h </w:instrText>
      </w:r>
      <w:r>
        <w:rPr>
          <w:color w:val="auto"/>
          <w:sz w:val="28"/>
          <w:szCs w:val="28"/>
          <w:highlight w:val="none"/>
        </w:rPr>
        <w:fldChar w:fldCharType="separate"/>
      </w:r>
      <w:r>
        <w:rPr>
          <w:color w:val="auto"/>
          <w:sz w:val="28"/>
          <w:szCs w:val="28"/>
          <w:highlight w:val="none"/>
        </w:rPr>
        <w:t>42</w:t>
      </w:r>
      <w:r>
        <w:rPr>
          <w:color w:val="auto"/>
          <w:sz w:val="28"/>
          <w:szCs w:val="28"/>
          <w:highlight w:val="none"/>
        </w:rPr>
        <w:fldChar w:fldCharType="end"/>
      </w:r>
      <w:r>
        <w:rPr>
          <w:color w:val="auto"/>
          <w:sz w:val="28"/>
          <w:szCs w:val="28"/>
          <w:highlight w:val="none"/>
        </w:rPr>
        <w:fldChar w:fldCharType="end"/>
      </w:r>
    </w:p>
    <w:p>
      <w:pPr>
        <w:tabs>
          <w:tab w:val="right" w:leader="dot" w:pos="9087"/>
        </w:tabs>
        <w:spacing w:line="480" w:lineRule="auto"/>
        <w:ind w:firstLine="480" w:firstLineChars="200"/>
        <w:rPr>
          <w:rStyle w:val="19"/>
          <w:color w:val="auto"/>
          <w:sz w:val="24"/>
          <w:highlight w:val="none"/>
          <w:u w:val="none"/>
        </w:rPr>
      </w:pPr>
      <w:r>
        <w:rPr>
          <w:color w:val="auto"/>
          <w:sz w:val="24"/>
          <w:highlight w:val="none"/>
        </w:rPr>
        <w:fldChar w:fldCharType="end"/>
      </w:r>
    </w:p>
    <w:p>
      <w:pPr>
        <w:pStyle w:val="14"/>
        <w:rPr>
          <w:color w:val="auto"/>
          <w:highlight w:val="none"/>
        </w:rPr>
      </w:pPr>
    </w:p>
    <w:p>
      <w:pPr>
        <w:rPr>
          <w:rFonts w:ascii="宋体" w:hAnsi="宋体"/>
          <w:b/>
          <w:color w:val="auto"/>
          <w:sz w:val="30"/>
          <w:highlight w:val="none"/>
        </w:rPr>
      </w:pPr>
    </w:p>
    <w:p>
      <w:pPr>
        <w:jc w:val="center"/>
        <w:rPr>
          <w:rFonts w:ascii="宋体" w:hAnsi="宋体"/>
          <w:b/>
          <w:color w:val="auto"/>
          <w:sz w:val="44"/>
          <w:highlight w:val="none"/>
        </w:rPr>
      </w:pPr>
    </w:p>
    <w:p>
      <w:pPr>
        <w:tabs>
          <w:tab w:val="left" w:pos="5510"/>
        </w:tabs>
        <w:jc w:val="left"/>
        <w:rPr>
          <w:rFonts w:ascii="宋体" w:hAnsi="宋体"/>
          <w:b/>
          <w:color w:val="auto"/>
          <w:sz w:val="44"/>
          <w:highlight w:val="none"/>
        </w:rPr>
      </w:pPr>
      <w:r>
        <w:rPr>
          <w:rFonts w:hint="eastAsia" w:ascii="宋体" w:hAnsi="宋体"/>
          <w:b/>
          <w:color w:val="auto"/>
          <w:sz w:val="44"/>
          <w:highlight w:val="none"/>
        </w:rPr>
        <w:tab/>
      </w:r>
    </w:p>
    <w:p>
      <w:pPr>
        <w:tabs>
          <w:tab w:val="left" w:pos="5510"/>
        </w:tabs>
        <w:jc w:val="left"/>
        <w:rPr>
          <w:rFonts w:ascii="宋体" w:hAnsi="宋体"/>
          <w:b/>
          <w:color w:val="auto"/>
          <w:sz w:val="44"/>
          <w:highlight w:val="none"/>
        </w:rPr>
      </w:pPr>
    </w:p>
    <w:p>
      <w:pPr>
        <w:tabs>
          <w:tab w:val="left" w:pos="5510"/>
        </w:tabs>
        <w:jc w:val="left"/>
        <w:rPr>
          <w:rFonts w:ascii="宋体" w:hAnsi="宋体"/>
          <w:b/>
          <w:color w:val="auto"/>
          <w:sz w:val="44"/>
          <w:highlight w:val="none"/>
        </w:rPr>
      </w:pPr>
    </w:p>
    <w:p>
      <w:pPr>
        <w:tabs>
          <w:tab w:val="left" w:pos="5510"/>
        </w:tabs>
        <w:jc w:val="left"/>
        <w:rPr>
          <w:rFonts w:ascii="宋体" w:hAnsi="宋体"/>
          <w:b/>
          <w:color w:val="auto"/>
          <w:sz w:val="44"/>
          <w:highlight w:val="none"/>
        </w:rPr>
      </w:pPr>
    </w:p>
    <w:p>
      <w:pPr>
        <w:jc w:val="center"/>
        <w:rPr>
          <w:rFonts w:ascii="宋体" w:hAnsi="宋体"/>
          <w:b/>
          <w:color w:val="auto"/>
          <w:sz w:val="44"/>
          <w:highlight w:val="none"/>
        </w:rPr>
      </w:pPr>
    </w:p>
    <w:p>
      <w:pPr>
        <w:jc w:val="center"/>
        <w:rPr>
          <w:rFonts w:ascii="宋体" w:hAnsi="宋体"/>
          <w:b/>
          <w:color w:val="auto"/>
          <w:sz w:val="44"/>
          <w:highlight w:val="none"/>
        </w:rPr>
      </w:pPr>
    </w:p>
    <w:p>
      <w:pPr>
        <w:jc w:val="center"/>
        <w:rPr>
          <w:rFonts w:ascii="宋体" w:hAnsi="宋体"/>
          <w:b/>
          <w:color w:val="auto"/>
          <w:sz w:val="44"/>
          <w:highlight w:val="none"/>
        </w:rPr>
      </w:pPr>
    </w:p>
    <w:p>
      <w:pPr>
        <w:jc w:val="center"/>
        <w:rPr>
          <w:rFonts w:ascii="宋体" w:hAnsi="宋体"/>
          <w:b/>
          <w:color w:val="auto"/>
          <w:sz w:val="44"/>
          <w:highlight w:val="none"/>
        </w:rPr>
      </w:pPr>
    </w:p>
    <w:p>
      <w:pPr>
        <w:jc w:val="center"/>
        <w:rPr>
          <w:rFonts w:ascii="宋体" w:hAnsi="宋体"/>
          <w:b/>
          <w:color w:val="auto"/>
          <w:sz w:val="44"/>
          <w:highlight w:val="none"/>
        </w:rPr>
      </w:pPr>
    </w:p>
    <w:p>
      <w:pPr>
        <w:widowControl/>
        <w:jc w:val="left"/>
        <w:rPr>
          <w:rFonts w:ascii="宋体" w:hAnsi="宋体"/>
          <w:b/>
          <w:color w:val="auto"/>
          <w:sz w:val="44"/>
          <w:highlight w:val="none"/>
        </w:rPr>
      </w:pPr>
    </w:p>
    <w:p>
      <w:pPr>
        <w:widowControl/>
        <w:jc w:val="left"/>
        <w:rPr>
          <w:rFonts w:ascii="宋体" w:hAnsi="宋体"/>
          <w:b/>
          <w:color w:val="auto"/>
          <w:sz w:val="44"/>
          <w:highlight w:val="none"/>
        </w:rPr>
      </w:pPr>
    </w:p>
    <w:p>
      <w:pPr>
        <w:pStyle w:val="3"/>
        <w:keepNext w:val="0"/>
        <w:keepLines w:val="0"/>
        <w:topLinePunct/>
        <w:spacing w:line="240" w:lineRule="auto"/>
        <w:rPr>
          <w:color w:val="auto"/>
          <w:highlight w:val="none"/>
        </w:rPr>
      </w:pPr>
      <w:bookmarkStart w:id="1" w:name="_Toc450115334"/>
      <w:bookmarkStart w:id="2" w:name="_Toc19902"/>
      <w:r>
        <w:rPr>
          <w:rFonts w:hint="eastAsia"/>
          <w:color w:val="auto"/>
          <w:highlight w:val="none"/>
        </w:rPr>
        <w:t>第一章</w:t>
      </w:r>
      <w:r>
        <w:rPr>
          <w:rFonts w:hint="eastAsia"/>
          <w:color w:val="auto"/>
          <w:highlight w:val="none"/>
          <w:lang w:val="en-US" w:eastAsia="zh-CN"/>
        </w:rPr>
        <w:t xml:space="preserve"> </w:t>
      </w:r>
      <w:r>
        <w:rPr>
          <w:rFonts w:hint="eastAsia" w:ascii="宋体" w:hAnsi="宋体"/>
          <w:color w:val="auto"/>
          <w:highlight w:val="none"/>
        </w:rPr>
        <w:t>竞争性磋商</w:t>
      </w:r>
      <w:r>
        <w:rPr>
          <w:rFonts w:hint="eastAsia"/>
          <w:color w:val="auto"/>
          <w:highlight w:val="none"/>
        </w:rPr>
        <w:t>公告</w:t>
      </w:r>
      <w:bookmarkEnd w:id="1"/>
      <w:bookmarkEnd w:id="2"/>
    </w:p>
    <w:p>
      <w:pPr>
        <w:spacing w:line="400" w:lineRule="exact"/>
        <w:ind w:firstLine="480" w:firstLineChars="200"/>
        <w:rPr>
          <w:color w:val="auto"/>
          <w:sz w:val="24"/>
          <w:highlight w:val="none"/>
        </w:rPr>
      </w:pPr>
      <w:r>
        <w:rPr>
          <w:rFonts w:hint="eastAsia"/>
          <w:color w:val="auto"/>
          <w:sz w:val="24"/>
          <w:highlight w:val="none"/>
          <w:lang w:eastAsia="zh-CN"/>
        </w:rPr>
        <w:t>济宁医学院日照校区车辆定点维修服务采购项目</w:t>
      </w:r>
      <w:r>
        <w:rPr>
          <w:rFonts w:hint="eastAsia"/>
          <w:color w:val="auto"/>
          <w:sz w:val="24"/>
          <w:highlight w:val="none"/>
        </w:rPr>
        <w:t>经有关部门批准，现对其进行采用竞争性磋商方式择优采购定点维修单位，有关事宜公告如下：</w:t>
      </w:r>
    </w:p>
    <w:p>
      <w:pPr>
        <w:spacing w:line="400" w:lineRule="exact"/>
        <w:ind w:firstLine="480" w:firstLineChars="200"/>
        <w:rPr>
          <w:color w:val="auto"/>
          <w:sz w:val="24"/>
          <w:highlight w:val="none"/>
        </w:rPr>
      </w:pPr>
      <w:r>
        <w:rPr>
          <w:rFonts w:hint="eastAsia"/>
          <w:color w:val="auto"/>
          <w:sz w:val="24"/>
          <w:highlight w:val="none"/>
        </w:rPr>
        <w:t>有关事宜公告如下：</w:t>
      </w:r>
    </w:p>
    <w:p>
      <w:pPr>
        <w:spacing w:line="400" w:lineRule="exact"/>
        <w:ind w:firstLine="480" w:firstLineChars="200"/>
        <w:rPr>
          <w:color w:val="auto"/>
          <w:sz w:val="24"/>
          <w:highlight w:val="none"/>
        </w:rPr>
      </w:pPr>
      <w:r>
        <w:rPr>
          <w:rFonts w:hint="eastAsia"/>
          <w:color w:val="auto"/>
          <w:sz w:val="24"/>
          <w:highlight w:val="none"/>
        </w:rPr>
        <w:t>一、项目基本信息</w:t>
      </w:r>
    </w:p>
    <w:p>
      <w:pPr>
        <w:spacing w:line="400" w:lineRule="exact"/>
        <w:ind w:firstLine="480" w:firstLineChars="200"/>
        <w:rPr>
          <w:rFonts w:hint="default" w:eastAsiaTheme="minorEastAsia"/>
          <w:color w:val="auto"/>
          <w:sz w:val="24"/>
          <w:highlight w:val="none"/>
          <w:lang w:val="en-US" w:eastAsia="zh-CN"/>
        </w:rPr>
      </w:pPr>
      <w:r>
        <w:rPr>
          <w:rFonts w:hint="eastAsia"/>
          <w:color w:val="auto"/>
          <w:sz w:val="24"/>
          <w:highlight w:val="none"/>
        </w:rPr>
        <w:t>1、项目编号：</w:t>
      </w:r>
      <w:r>
        <w:rPr>
          <w:color w:val="auto"/>
          <w:sz w:val="24"/>
          <w:highlight w:val="none"/>
        </w:rPr>
        <w:t>HT-201</w:t>
      </w:r>
      <w:r>
        <w:rPr>
          <w:rFonts w:hint="eastAsia"/>
          <w:color w:val="auto"/>
          <w:sz w:val="24"/>
          <w:highlight w:val="none"/>
          <w:lang w:val="en-US" w:eastAsia="zh-CN"/>
        </w:rPr>
        <w:t>9</w:t>
      </w:r>
      <w:r>
        <w:rPr>
          <w:color w:val="auto"/>
          <w:sz w:val="24"/>
          <w:highlight w:val="none"/>
        </w:rPr>
        <w:t>-CG-</w:t>
      </w:r>
      <w:r>
        <w:rPr>
          <w:rFonts w:hint="eastAsia"/>
          <w:color w:val="auto"/>
          <w:sz w:val="24"/>
          <w:highlight w:val="none"/>
          <w:lang w:val="en-US" w:eastAsia="zh-CN"/>
        </w:rPr>
        <w:t xml:space="preserve">162   </w:t>
      </w:r>
    </w:p>
    <w:p>
      <w:pPr>
        <w:spacing w:line="400" w:lineRule="exact"/>
        <w:ind w:firstLine="480" w:firstLineChars="200"/>
        <w:rPr>
          <w:rFonts w:hint="eastAsia" w:eastAsiaTheme="minorEastAsia"/>
          <w:color w:val="auto"/>
          <w:sz w:val="24"/>
          <w:highlight w:val="none"/>
          <w:lang w:eastAsia="zh-CN"/>
        </w:rPr>
      </w:pPr>
      <w:r>
        <w:rPr>
          <w:rFonts w:hint="eastAsia"/>
          <w:color w:val="auto"/>
          <w:sz w:val="24"/>
          <w:highlight w:val="none"/>
        </w:rPr>
        <w:t>2、项目名称：</w:t>
      </w:r>
      <w:r>
        <w:rPr>
          <w:rFonts w:hint="eastAsia"/>
          <w:color w:val="auto"/>
          <w:sz w:val="24"/>
          <w:highlight w:val="none"/>
          <w:lang w:eastAsia="zh-CN"/>
        </w:rPr>
        <w:t>济宁医学院日照校区车辆定点维修服务采购项目</w:t>
      </w:r>
    </w:p>
    <w:p>
      <w:pPr>
        <w:spacing w:line="400" w:lineRule="exact"/>
        <w:ind w:firstLine="480" w:firstLineChars="200"/>
        <w:rPr>
          <w:color w:val="auto"/>
          <w:sz w:val="24"/>
          <w:highlight w:val="none"/>
        </w:rPr>
      </w:pPr>
      <w:r>
        <w:rPr>
          <w:rFonts w:hint="eastAsia"/>
          <w:color w:val="auto"/>
          <w:sz w:val="24"/>
          <w:highlight w:val="none"/>
        </w:rPr>
        <w:t>3、包号划分：一个包</w:t>
      </w:r>
    </w:p>
    <w:p>
      <w:pPr>
        <w:spacing w:line="400" w:lineRule="exact"/>
        <w:ind w:firstLine="480" w:firstLineChars="200"/>
        <w:rPr>
          <w:rFonts w:ascii="宋体" w:hAnsi="宋体" w:cs="宋体"/>
          <w:color w:val="auto"/>
          <w:sz w:val="24"/>
          <w:highlight w:val="none"/>
        </w:rPr>
      </w:pPr>
      <w:r>
        <w:rPr>
          <w:rFonts w:hint="eastAsia"/>
          <w:color w:val="auto"/>
          <w:sz w:val="24"/>
          <w:highlight w:val="none"/>
        </w:rPr>
        <w:t>4、项目概况：本项目为</w:t>
      </w:r>
      <w:r>
        <w:rPr>
          <w:rFonts w:hint="eastAsia"/>
          <w:color w:val="auto"/>
          <w:sz w:val="24"/>
          <w:highlight w:val="none"/>
          <w:lang w:eastAsia="zh-CN"/>
        </w:rPr>
        <w:t>济宁医学院日照校区车辆定点维修服务采购项目</w:t>
      </w:r>
      <w:r>
        <w:rPr>
          <w:rFonts w:hint="eastAsia"/>
          <w:color w:val="auto"/>
          <w:sz w:val="24"/>
          <w:highlight w:val="none"/>
        </w:rPr>
        <w:t>，具体详见竞争性磋商文件。</w:t>
      </w:r>
    </w:p>
    <w:p>
      <w:pPr>
        <w:spacing w:line="400" w:lineRule="exact"/>
        <w:ind w:firstLine="480" w:firstLineChars="200"/>
        <w:rPr>
          <w:color w:val="auto"/>
          <w:sz w:val="24"/>
          <w:highlight w:val="none"/>
        </w:rPr>
      </w:pPr>
      <w:r>
        <w:rPr>
          <w:rFonts w:hint="eastAsia"/>
          <w:color w:val="auto"/>
          <w:sz w:val="24"/>
          <w:highlight w:val="none"/>
        </w:rPr>
        <w:t>5、采购单位：济宁医学院</w:t>
      </w:r>
    </w:p>
    <w:p>
      <w:pPr>
        <w:spacing w:line="400" w:lineRule="exact"/>
        <w:ind w:firstLine="480" w:firstLineChars="200"/>
        <w:rPr>
          <w:color w:val="auto"/>
          <w:sz w:val="24"/>
          <w:highlight w:val="none"/>
        </w:rPr>
      </w:pPr>
      <w:r>
        <w:rPr>
          <w:rFonts w:hint="eastAsia"/>
          <w:color w:val="auto"/>
          <w:sz w:val="24"/>
          <w:highlight w:val="none"/>
        </w:rPr>
        <w:t>二、供应商资格要求</w:t>
      </w:r>
    </w:p>
    <w:p>
      <w:pPr>
        <w:widowControl/>
        <w:spacing w:line="350" w:lineRule="exact"/>
        <w:ind w:firstLine="480" w:firstLineChars="200"/>
        <w:rPr>
          <w:rFonts w:eastAsia="宋体" w:cs="Arial"/>
          <w:color w:val="auto"/>
          <w:sz w:val="24"/>
          <w:highlight w:val="none"/>
        </w:rPr>
      </w:pPr>
      <w:r>
        <w:rPr>
          <w:rFonts w:eastAsia="宋体" w:cs="Arial"/>
          <w:color w:val="auto"/>
          <w:sz w:val="24"/>
          <w:highlight w:val="none"/>
        </w:rPr>
        <w:t>1、供应商必须在中国境内</w:t>
      </w:r>
      <w:r>
        <w:rPr>
          <w:rFonts w:hint="eastAsia" w:eastAsia="宋体" w:cs="Arial"/>
          <w:color w:val="auto"/>
          <w:sz w:val="24"/>
          <w:highlight w:val="none"/>
        </w:rPr>
        <w:t>注册</w:t>
      </w:r>
      <w:r>
        <w:rPr>
          <w:rFonts w:eastAsia="宋体" w:cs="Arial"/>
          <w:color w:val="auto"/>
          <w:sz w:val="24"/>
          <w:highlight w:val="none"/>
        </w:rPr>
        <w:t>，具有独立法人资格</w:t>
      </w:r>
      <w:r>
        <w:rPr>
          <w:rFonts w:hint="eastAsia" w:eastAsia="宋体" w:cs="Arial"/>
          <w:color w:val="auto"/>
          <w:sz w:val="24"/>
          <w:highlight w:val="none"/>
        </w:rPr>
        <w:t>，并在人员、设备、资金等方面具有相应的服务能力，</w:t>
      </w:r>
    </w:p>
    <w:p>
      <w:pPr>
        <w:widowControl/>
        <w:spacing w:line="350" w:lineRule="exact"/>
        <w:ind w:firstLine="480" w:firstLineChars="200"/>
        <w:rPr>
          <w:rFonts w:eastAsia="宋体" w:cs="Arial"/>
          <w:color w:val="auto"/>
          <w:sz w:val="24"/>
          <w:highlight w:val="none"/>
        </w:rPr>
      </w:pPr>
      <w:r>
        <w:rPr>
          <w:rFonts w:hint="eastAsia" w:eastAsia="宋体" w:cs="Arial"/>
          <w:color w:val="auto"/>
          <w:sz w:val="24"/>
          <w:highlight w:val="none"/>
        </w:rPr>
        <w:t>2、具备有效的营业执</w:t>
      </w:r>
      <w:r>
        <w:rPr>
          <w:rFonts w:eastAsia="宋体" w:cs="Arial"/>
          <w:color w:val="auto"/>
          <w:sz w:val="24"/>
          <w:highlight w:val="none"/>
        </w:rPr>
        <w:t>照</w:t>
      </w:r>
      <w:r>
        <w:rPr>
          <w:rFonts w:hint="eastAsia" w:eastAsia="宋体" w:cs="Arial"/>
          <w:color w:val="auto"/>
          <w:sz w:val="24"/>
          <w:highlight w:val="none"/>
        </w:rPr>
        <w:t>；</w:t>
      </w:r>
    </w:p>
    <w:p>
      <w:pPr>
        <w:widowControl/>
        <w:spacing w:line="350" w:lineRule="exact"/>
        <w:ind w:firstLine="480" w:firstLineChars="200"/>
        <w:rPr>
          <w:rFonts w:eastAsia="宋体" w:cs="Arial"/>
          <w:color w:val="auto"/>
          <w:sz w:val="24"/>
          <w:highlight w:val="none"/>
        </w:rPr>
      </w:pPr>
      <w:r>
        <w:rPr>
          <w:rFonts w:eastAsia="宋体" w:cs="Arial"/>
          <w:color w:val="auto"/>
          <w:sz w:val="24"/>
          <w:highlight w:val="none"/>
        </w:rPr>
        <w:t>3、供应商（</w:t>
      </w:r>
      <w:r>
        <w:rPr>
          <w:rFonts w:hint="eastAsia" w:eastAsia="宋体" w:cs="Arial"/>
          <w:color w:val="auto"/>
          <w:sz w:val="24"/>
          <w:highlight w:val="none"/>
        </w:rPr>
        <w:t>维修</w:t>
      </w:r>
      <w:r>
        <w:rPr>
          <w:rFonts w:eastAsia="宋体" w:cs="Arial"/>
          <w:color w:val="auto"/>
          <w:sz w:val="24"/>
          <w:highlight w:val="none"/>
        </w:rPr>
        <w:t>企业）营业</w:t>
      </w:r>
      <w:r>
        <w:rPr>
          <w:rFonts w:hint="eastAsia" w:eastAsia="宋体" w:cs="Arial"/>
          <w:color w:val="auto"/>
          <w:sz w:val="24"/>
          <w:highlight w:val="none"/>
        </w:rPr>
        <w:t>场所必</w:t>
      </w:r>
      <w:r>
        <w:rPr>
          <w:rFonts w:eastAsia="宋体" w:cs="Arial"/>
          <w:color w:val="auto"/>
          <w:sz w:val="24"/>
          <w:highlight w:val="none"/>
        </w:rPr>
        <w:t>须在</w:t>
      </w:r>
      <w:r>
        <w:rPr>
          <w:rFonts w:hint="eastAsia" w:eastAsia="宋体" w:cs="Arial"/>
          <w:color w:val="auto"/>
          <w:sz w:val="24"/>
          <w:highlight w:val="none"/>
        </w:rPr>
        <w:t>山东省</w:t>
      </w:r>
      <w:r>
        <w:rPr>
          <w:rFonts w:hint="eastAsia" w:eastAsia="宋体" w:cs="Arial"/>
          <w:color w:val="auto"/>
          <w:sz w:val="24"/>
          <w:highlight w:val="none"/>
          <w:lang w:eastAsia="zh-CN"/>
        </w:rPr>
        <w:t>日照</w:t>
      </w:r>
      <w:r>
        <w:rPr>
          <w:rFonts w:hint="eastAsia" w:eastAsia="宋体" w:cs="Arial"/>
          <w:color w:val="auto"/>
          <w:sz w:val="24"/>
          <w:highlight w:val="none"/>
        </w:rPr>
        <w:t>市城区（提供合法的房屋、场地产权证明或有效期内的房屋及场地租赁合同原件）</w:t>
      </w:r>
      <w:r>
        <w:rPr>
          <w:rFonts w:eastAsia="宋体" w:cs="Arial"/>
          <w:color w:val="auto"/>
          <w:sz w:val="24"/>
          <w:highlight w:val="none"/>
        </w:rPr>
        <w:t>；</w:t>
      </w:r>
    </w:p>
    <w:p>
      <w:pPr>
        <w:widowControl/>
        <w:spacing w:line="350" w:lineRule="exact"/>
        <w:ind w:firstLine="480" w:firstLineChars="200"/>
        <w:rPr>
          <w:rFonts w:eastAsia="宋体" w:cs="Arial"/>
          <w:color w:val="auto"/>
          <w:sz w:val="24"/>
          <w:highlight w:val="none"/>
        </w:rPr>
      </w:pPr>
      <w:r>
        <w:rPr>
          <w:rFonts w:hint="eastAsia" w:eastAsia="宋体" w:cs="Arial"/>
          <w:color w:val="auto"/>
          <w:sz w:val="24"/>
          <w:highlight w:val="none"/>
        </w:rPr>
        <w:t>4、</w:t>
      </w:r>
      <w:r>
        <w:rPr>
          <w:rFonts w:eastAsia="宋体" w:cs="Arial"/>
          <w:color w:val="auto"/>
          <w:sz w:val="24"/>
          <w:highlight w:val="none"/>
        </w:rPr>
        <w:t>供应商应具有交通主</w:t>
      </w:r>
      <w:r>
        <w:rPr>
          <w:rFonts w:hint="eastAsia" w:eastAsia="宋体" w:cs="Arial"/>
          <w:color w:val="auto"/>
          <w:sz w:val="24"/>
          <w:highlight w:val="none"/>
        </w:rPr>
        <w:t>管</w:t>
      </w:r>
      <w:r>
        <w:rPr>
          <w:rFonts w:eastAsia="宋体" w:cs="Arial"/>
          <w:color w:val="auto"/>
          <w:sz w:val="24"/>
          <w:highlight w:val="none"/>
        </w:rPr>
        <w:t>部门颁发</w:t>
      </w:r>
      <w:r>
        <w:rPr>
          <w:rFonts w:hint="eastAsia" w:eastAsia="宋体" w:cs="Arial"/>
          <w:color w:val="auto"/>
          <w:sz w:val="24"/>
          <w:highlight w:val="none"/>
        </w:rPr>
        <w:t>的三</w:t>
      </w:r>
      <w:r>
        <w:rPr>
          <w:rFonts w:eastAsia="宋体" w:cs="Arial"/>
          <w:color w:val="auto"/>
          <w:sz w:val="24"/>
          <w:highlight w:val="none"/>
        </w:rPr>
        <w:t>类（含）以上汽车</w:t>
      </w:r>
      <w:r>
        <w:rPr>
          <w:rFonts w:hint="eastAsia" w:eastAsia="宋体" w:cs="Arial"/>
          <w:color w:val="auto"/>
          <w:sz w:val="24"/>
          <w:highlight w:val="none"/>
        </w:rPr>
        <w:t>维修</w:t>
      </w:r>
      <w:r>
        <w:rPr>
          <w:rFonts w:eastAsia="宋体" w:cs="Arial"/>
          <w:color w:val="auto"/>
          <w:sz w:val="24"/>
          <w:highlight w:val="none"/>
        </w:rPr>
        <w:t>经营许可证；</w:t>
      </w:r>
    </w:p>
    <w:p>
      <w:pPr>
        <w:widowControl/>
        <w:spacing w:line="350" w:lineRule="exact"/>
        <w:ind w:firstLine="480" w:firstLineChars="200"/>
        <w:rPr>
          <w:rFonts w:eastAsia="宋体" w:cs="Arial"/>
          <w:color w:val="auto"/>
          <w:sz w:val="24"/>
          <w:highlight w:val="none"/>
        </w:rPr>
      </w:pPr>
      <w:r>
        <w:rPr>
          <w:rFonts w:hint="eastAsia" w:eastAsia="宋体" w:cs="Arial"/>
          <w:color w:val="auto"/>
          <w:sz w:val="24"/>
          <w:highlight w:val="none"/>
        </w:rPr>
        <w:t>5、</w:t>
      </w:r>
      <w:r>
        <w:rPr>
          <w:rFonts w:eastAsia="宋体" w:cs="Arial"/>
          <w:color w:val="auto"/>
          <w:sz w:val="24"/>
          <w:highlight w:val="none"/>
        </w:rPr>
        <w:t>供应商须满足《中华人民共和国政府采购法》第22条规定；</w:t>
      </w:r>
    </w:p>
    <w:p>
      <w:pPr>
        <w:widowControl/>
        <w:spacing w:line="350" w:lineRule="exact"/>
        <w:ind w:firstLine="480" w:firstLineChars="200"/>
        <w:rPr>
          <w:rFonts w:eastAsia="宋体" w:cs="Arial"/>
          <w:color w:val="auto"/>
          <w:sz w:val="24"/>
          <w:highlight w:val="none"/>
        </w:rPr>
      </w:pPr>
      <w:r>
        <w:rPr>
          <w:rFonts w:hint="eastAsia" w:eastAsia="宋体" w:cs="Arial"/>
          <w:color w:val="auto"/>
          <w:sz w:val="24"/>
          <w:highlight w:val="none"/>
        </w:rPr>
        <w:t>6、</w:t>
      </w:r>
      <w:r>
        <w:rPr>
          <w:rFonts w:eastAsia="宋体" w:cs="Arial"/>
          <w:color w:val="auto"/>
          <w:sz w:val="24"/>
          <w:highlight w:val="none"/>
        </w:rPr>
        <w:t>本</w:t>
      </w:r>
      <w:r>
        <w:rPr>
          <w:rFonts w:hint="eastAsia" w:eastAsia="宋体" w:cs="Arial"/>
          <w:color w:val="auto"/>
          <w:sz w:val="24"/>
          <w:highlight w:val="none"/>
        </w:rPr>
        <w:t>项目</w:t>
      </w:r>
      <w:r>
        <w:rPr>
          <w:rFonts w:eastAsia="宋体" w:cs="Arial"/>
          <w:color w:val="auto"/>
          <w:sz w:val="24"/>
          <w:highlight w:val="none"/>
        </w:rPr>
        <w:t>不接受联合体</w:t>
      </w:r>
      <w:r>
        <w:rPr>
          <w:rFonts w:hint="eastAsia" w:eastAsia="宋体" w:cs="Arial"/>
          <w:color w:val="auto"/>
          <w:sz w:val="24"/>
          <w:highlight w:val="none"/>
        </w:rPr>
        <w:t>投标；</w:t>
      </w:r>
    </w:p>
    <w:p>
      <w:pPr>
        <w:widowControl/>
        <w:spacing w:line="350" w:lineRule="exact"/>
        <w:ind w:firstLine="480" w:firstLineChars="200"/>
        <w:rPr>
          <w:color w:val="auto"/>
          <w:sz w:val="24"/>
          <w:highlight w:val="none"/>
        </w:rPr>
      </w:pPr>
      <w:r>
        <w:rPr>
          <w:rFonts w:hint="eastAsia" w:eastAsia="宋体" w:cs="Arial"/>
          <w:color w:val="auto"/>
          <w:sz w:val="24"/>
          <w:highlight w:val="none"/>
        </w:rPr>
        <w:t>7、资格审查方式：资格后审。</w:t>
      </w:r>
      <w:r>
        <w:rPr>
          <w:rFonts w:hint="eastAsia"/>
          <w:color w:val="auto"/>
          <w:sz w:val="24"/>
          <w:highlight w:val="none"/>
        </w:rPr>
        <w:t>                     </w:t>
      </w:r>
    </w:p>
    <w:p>
      <w:pPr>
        <w:spacing w:line="400" w:lineRule="exact"/>
        <w:ind w:firstLine="480" w:firstLineChars="200"/>
        <w:rPr>
          <w:color w:val="auto"/>
          <w:sz w:val="24"/>
          <w:highlight w:val="none"/>
        </w:rPr>
      </w:pPr>
      <w:r>
        <w:rPr>
          <w:rFonts w:hint="eastAsia"/>
          <w:color w:val="auto"/>
          <w:sz w:val="24"/>
          <w:highlight w:val="none"/>
        </w:rPr>
        <w:t>三、报名时间及方式</w:t>
      </w:r>
    </w:p>
    <w:p>
      <w:pPr>
        <w:spacing w:line="400" w:lineRule="exact"/>
        <w:ind w:firstLine="480" w:firstLineChars="200"/>
        <w:rPr>
          <w:color w:val="auto"/>
          <w:sz w:val="24"/>
          <w:highlight w:val="none"/>
        </w:rPr>
      </w:pPr>
      <w:r>
        <w:rPr>
          <w:rFonts w:hint="eastAsia"/>
          <w:color w:val="auto"/>
          <w:sz w:val="24"/>
          <w:highlight w:val="none"/>
        </w:rPr>
        <w:t>1、报名时间：</w:t>
      </w: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20</w:t>
      </w:r>
      <w:r>
        <w:rPr>
          <w:rFonts w:hint="eastAsia"/>
          <w:color w:val="auto"/>
          <w:sz w:val="24"/>
          <w:highlight w:val="none"/>
        </w:rPr>
        <w:t>日—</w:t>
      </w: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26</w:t>
      </w:r>
      <w:r>
        <w:rPr>
          <w:rFonts w:hint="eastAsia"/>
          <w:color w:val="auto"/>
          <w:sz w:val="24"/>
          <w:highlight w:val="none"/>
        </w:rPr>
        <w:t>日</w:t>
      </w:r>
    </w:p>
    <w:p>
      <w:pPr>
        <w:spacing w:line="400" w:lineRule="exact"/>
        <w:ind w:firstLine="480" w:firstLineChars="200"/>
        <w:rPr>
          <w:rFonts w:eastAsia="宋体" w:cs="宋体"/>
          <w:b/>
          <w:color w:val="auto"/>
          <w:sz w:val="24"/>
          <w:highlight w:val="none"/>
        </w:rPr>
      </w:pPr>
      <w:r>
        <w:rPr>
          <w:rFonts w:hint="eastAsia"/>
          <w:color w:val="auto"/>
          <w:sz w:val="24"/>
          <w:highlight w:val="none"/>
        </w:rPr>
        <w:t>2、报名方式：凡有意参加投标者，请于</w:t>
      </w: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20</w:t>
      </w:r>
      <w:r>
        <w:rPr>
          <w:rFonts w:hint="eastAsia"/>
          <w:color w:val="auto"/>
          <w:sz w:val="24"/>
          <w:highlight w:val="none"/>
        </w:rPr>
        <w:t>日—</w:t>
      </w: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26</w:t>
      </w:r>
      <w:r>
        <w:rPr>
          <w:rFonts w:hint="eastAsia"/>
          <w:color w:val="auto"/>
          <w:sz w:val="24"/>
          <w:highlight w:val="none"/>
        </w:rPr>
        <w:t>日，每日上午</w:t>
      </w:r>
      <w:r>
        <w:rPr>
          <w:color w:val="auto"/>
          <w:sz w:val="24"/>
          <w:highlight w:val="none"/>
        </w:rPr>
        <w:t>8</w:t>
      </w:r>
      <w:r>
        <w:rPr>
          <w:rFonts w:hint="eastAsia"/>
          <w:color w:val="auto"/>
          <w:sz w:val="24"/>
          <w:highlight w:val="none"/>
        </w:rPr>
        <w:t>时</w:t>
      </w:r>
      <w:r>
        <w:rPr>
          <w:color w:val="auto"/>
          <w:sz w:val="24"/>
          <w:highlight w:val="none"/>
        </w:rPr>
        <w:t>00</w:t>
      </w:r>
      <w:r>
        <w:rPr>
          <w:rFonts w:hint="eastAsia"/>
          <w:color w:val="auto"/>
          <w:sz w:val="24"/>
          <w:highlight w:val="none"/>
        </w:rPr>
        <w:t>分至</w:t>
      </w:r>
      <w:r>
        <w:rPr>
          <w:color w:val="auto"/>
          <w:sz w:val="24"/>
          <w:highlight w:val="none"/>
        </w:rPr>
        <w:t>1</w:t>
      </w:r>
      <w:r>
        <w:rPr>
          <w:rFonts w:hint="eastAsia"/>
          <w:color w:val="auto"/>
          <w:sz w:val="24"/>
          <w:highlight w:val="none"/>
          <w:lang w:val="en-US" w:eastAsia="zh-CN"/>
        </w:rPr>
        <w:t>2</w:t>
      </w:r>
      <w:r>
        <w:rPr>
          <w:rFonts w:hint="eastAsia"/>
          <w:color w:val="auto"/>
          <w:sz w:val="24"/>
          <w:highlight w:val="none"/>
        </w:rPr>
        <w:t>时</w:t>
      </w:r>
      <w:r>
        <w:rPr>
          <w:color w:val="auto"/>
          <w:sz w:val="24"/>
          <w:highlight w:val="none"/>
        </w:rPr>
        <w:t>00</w:t>
      </w:r>
      <w:r>
        <w:rPr>
          <w:rFonts w:hint="eastAsia"/>
          <w:color w:val="auto"/>
          <w:sz w:val="24"/>
          <w:highlight w:val="none"/>
        </w:rPr>
        <w:t>分，下午</w:t>
      </w:r>
      <w:r>
        <w:rPr>
          <w:color w:val="auto"/>
          <w:sz w:val="24"/>
          <w:highlight w:val="none"/>
        </w:rPr>
        <w:t>14</w:t>
      </w:r>
      <w:r>
        <w:rPr>
          <w:rFonts w:hint="eastAsia"/>
          <w:color w:val="auto"/>
          <w:sz w:val="24"/>
          <w:highlight w:val="none"/>
        </w:rPr>
        <w:t>时</w:t>
      </w:r>
      <w:r>
        <w:rPr>
          <w:color w:val="auto"/>
          <w:sz w:val="24"/>
          <w:highlight w:val="none"/>
        </w:rPr>
        <w:t>00</w:t>
      </w:r>
      <w:r>
        <w:rPr>
          <w:rFonts w:hint="eastAsia"/>
          <w:color w:val="auto"/>
          <w:sz w:val="24"/>
          <w:highlight w:val="none"/>
        </w:rPr>
        <w:t>分至</w:t>
      </w:r>
      <w:r>
        <w:rPr>
          <w:color w:val="auto"/>
          <w:sz w:val="24"/>
          <w:highlight w:val="none"/>
        </w:rPr>
        <w:t>1</w:t>
      </w:r>
      <w:r>
        <w:rPr>
          <w:rFonts w:hint="eastAsia"/>
          <w:color w:val="auto"/>
          <w:sz w:val="24"/>
          <w:highlight w:val="none"/>
          <w:lang w:val="en-US" w:eastAsia="zh-CN"/>
        </w:rPr>
        <w:t>8</w:t>
      </w:r>
      <w:r>
        <w:rPr>
          <w:rFonts w:hint="eastAsia"/>
          <w:color w:val="auto"/>
          <w:sz w:val="24"/>
          <w:highlight w:val="none"/>
        </w:rPr>
        <w:t>时</w:t>
      </w:r>
      <w:r>
        <w:rPr>
          <w:color w:val="auto"/>
          <w:sz w:val="24"/>
          <w:highlight w:val="none"/>
        </w:rPr>
        <w:t>00</w:t>
      </w:r>
      <w:r>
        <w:rPr>
          <w:rFonts w:hint="eastAsia"/>
          <w:color w:val="auto"/>
          <w:sz w:val="24"/>
          <w:highlight w:val="none"/>
        </w:rPr>
        <w:t>分到山东衡天咨询有限公司（地址：济宁市任城大道翠都国际A座22层）报名，报名时请提供如下资料的加盖公章的复印件一套：</w:t>
      </w:r>
      <w:bookmarkStart w:id="109" w:name="_GoBack"/>
      <w:bookmarkEnd w:id="109"/>
      <w:r>
        <w:rPr>
          <w:rFonts w:hint="eastAsia" w:eastAsia="宋体" w:cs="宋体"/>
          <w:b/>
          <w:color w:val="auto"/>
          <w:sz w:val="24"/>
          <w:highlight w:val="none"/>
        </w:rPr>
        <w:t>营业执照、汽车维修经营许可证、法定代表人授权委托书及被授权人身份证。</w:t>
      </w:r>
    </w:p>
    <w:p>
      <w:pPr>
        <w:spacing w:line="400" w:lineRule="exact"/>
        <w:ind w:firstLine="480" w:firstLineChars="200"/>
        <w:rPr>
          <w:color w:val="auto"/>
          <w:sz w:val="24"/>
          <w:highlight w:val="none"/>
        </w:rPr>
      </w:pPr>
      <w:r>
        <w:rPr>
          <w:rFonts w:hint="eastAsia"/>
          <w:color w:val="auto"/>
          <w:sz w:val="24"/>
          <w:highlight w:val="none"/>
        </w:rPr>
        <w:t>四、发布公告的媒介：中国采购与招标网上发布。</w:t>
      </w:r>
    </w:p>
    <w:p>
      <w:pPr>
        <w:spacing w:line="400" w:lineRule="exact"/>
        <w:ind w:firstLine="480" w:firstLineChars="200"/>
        <w:rPr>
          <w:color w:val="auto"/>
          <w:sz w:val="24"/>
          <w:highlight w:val="none"/>
        </w:rPr>
      </w:pPr>
      <w:r>
        <w:rPr>
          <w:rFonts w:hint="eastAsia"/>
          <w:color w:val="auto"/>
          <w:sz w:val="24"/>
          <w:highlight w:val="none"/>
        </w:rPr>
        <w:t>五、联系方式</w:t>
      </w:r>
    </w:p>
    <w:p>
      <w:pPr>
        <w:spacing w:line="480" w:lineRule="exact"/>
        <w:ind w:right="150" w:firstLine="480" w:firstLineChars="200"/>
        <w:rPr>
          <w:rFonts w:ascii="宋体" w:hAnsi="宋体" w:cs="宋体"/>
          <w:color w:val="auto"/>
          <w:sz w:val="24"/>
          <w:highlight w:val="none"/>
        </w:rPr>
      </w:pPr>
      <w:r>
        <w:rPr>
          <w:rFonts w:hint="eastAsia" w:ascii="宋体" w:hAnsi="宋体" w:cs="宋体"/>
          <w:color w:val="auto"/>
          <w:sz w:val="24"/>
          <w:highlight w:val="none"/>
        </w:rPr>
        <w:t>1、采购人：济宁市医学院</w:t>
      </w:r>
    </w:p>
    <w:p>
      <w:pPr>
        <w:spacing w:line="480" w:lineRule="exact"/>
        <w:ind w:right="150" w:firstLine="480" w:firstLineChars="200"/>
        <w:rPr>
          <w:rFonts w:ascii="宋体" w:hAnsi="宋体" w:cs="宋体"/>
          <w:color w:val="auto"/>
          <w:sz w:val="24"/>
          <w:highlight w:val="none"/>
        </w:rPr>
      </w:pPr>
      <w:r>
        <w:rPr>
          <w:rFonts w:hint="eastAsia" w:ascii="宋体" w:hAnsi="宋体" w:cs="宋体"/>
          <w:color w:val="auto"/>
          <w:sz w:val="24"/>
          <w:highlight w:val="none"/>
        </w:rPr>
        <w:t>联 系 人：王主任     联系电话：0537-36161</w:t>
      </w:r>
      <w:r>
        <w:rPr>
          <w:rFonts w:hint="eastAsia" w:ascii="宋体" w:hAnsi="宋体" w:cs="宋体"/>
          <w:color w:val="auto"/>
          <w:sz w:val="24"/>
          <w:highlight w:val="none"/>
          <w:lang w:val="en-US" w:eastAsia="zh-CN"/>
        </w:rPr>
        <w:t>33</w:t>
      </w:r>
      <w:r>
        <w:rPr>
          <w:rFonts w:hint="eastAsia" w:ascii="宋体" w:hAnsi="宋体" w:cs="宋体"/>
          <w:color w:val="auto"/>
          <w:sz w:val="24"/>
          <w:highlight w:val="none"/>
        </w:rPr>
        <w:t xml:space="preserve"> </w:t>
      </w:r>
    </w:p>
    <w:p>
      <w:pPr>
        <w:spacing w:line="480" w:lineRule="exact"/>
        <w:ind w:right="150" w:firstLine="480" w:firstLineChars="200"/>
        <w:rPr>
          <w:rFonts w:ascii="宋体" w:hAnsi="宋体" w:cs="宋体"/>
          <w:color w:val="auto"/>
          <w:sz w:val="24"/>
          <w:highlight w:val="none"/>
        </w:rPr>
      </w:pPr>
      <w:r>
        <w:rPr>
          <w:rFonts w:hint="eastAsia" w:ascii="宋体" w:hAnsi="宋体" w:cs="宋体"/>
          <w:color w:val="auto"/>
          <w:sz w:val="24"/>
          <w:highlight w:val="none"/>
        </w:rPr>
        <w:t>2、招标代理机构： 山东衡天咨询有限公司</w:t>
      </w:r>
    </w:p>
    <w:p>
      <w:pPr>
        <w:spacing w:line="480" w:lineRule="exact"/>
        <w:ind w:right="150" w:firstLine="480" w:firstLineChars="200"/>
        <w:rPr>
          <w:rFonts w:ascii="宋体" w:hAnsi="宋体" w:cs="宋体"/>
          <w:color w:val="auto"/>
          <w:sz w:val="24"/>
          <w:highlight w:val="none"/>
        </w:rPr>
      </w:pPr>
      <w:r>
        <w:rPr>
          <w:rFonts w:hint="eastAsia" w:ascii="宋体" w:hAnsi="宋体" w:cs="宋体"/>
          <w:color w:val="auto"/>
          <w:sz w:val="24"/>
          <w:highlight w:val="none"/>
        </w:rPr>
        <w:t>联系地址：济宁市任城大道翠都国际A座22层</w:t>
      </w:r>
    </w:p>
    <w:p>
      <w:pPr>
        <w:spacing w:line="480" w:lineRule="exact"/>
        <w:ind w:right="150" w:firstLine="480" w:firstLineChars="200"/>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梁经理</w:t>
      </w:r>
      <w:r>
        <w:rPr>
          <w:rFonts w:hint="eastAsia" w:ascii="宋体" w:hAnsi="宋体" w:cs="宋体"/>
          <w:color w:val="auto"/>
          <w:sz w:val="24"/>
          <w:highlight w:val="none"/>
        </w:rPr>
        <w:t xml:space="preserve">      </w:t>
      </w:r>
    </w:p>
    <w:p>
      <w:pPr>
        <w:spacing w:line="480" w:lineRule="exact"/>
        <w:ind w:right="150" w:firstLine="480" w:firstLineChars="200"/>
        <w:rPr>
          <w:rFonts w:ascii="宋体" w:hAnsi="宋体" w:cs="宋体"/>
          <w:color w:val="auto"/>
          <w:sz w:val="24"/>
          <w:highlight w:val="none"/>
        </w:rPr>
      </w:pPr>
      <w:r>
        <w:rPr>
          <w:rFonts w:hint="eastAsia" w:ascii="宋体" w:hAnsi="宋体" w:cs="宋体"/>
          <w:color w:val="auto"/>
          <w:sz w:val="24"/>
          <w:highlight w:val="none"/>
        </w:rPr>
        <w:t>联系电话：0537-2489666</w:t>
      </w:r>
      <w:r>
        <w:rPr>
          <w:rFonts w:ascii="宋体" w:hAnsi="宋体" w:cs="宋体"/>
          <w:color w:val="auto"/>
          <w:sz w:val="24"/>
          <w:highlight w:val="none"/>
        </w:rPr>
        <w:t xml:space="preserve">  </w:t>
      </w:r>
    </w:p>
    <w:p>
      <w:pPr>
        <w:spacing w:line="480" w:lineRule="exact"/>
        <w:ind w:right="150" w:firstLine="480" w:firstLineChars="200"/>
        <w:rPr>
          <w:rFonts w:hint="eastAsia" w:ascii="宋体" w:hAnsi="宋体" w:cs="宋体"/>
          <w:color w:val="auto"/>
          <w:sz w:val="24"/>
          <w:highlight w:val="none"/>
        </w:rPr>
      </w:pPr>
      <w:r>
        <w:rPr>
          <w:rFonts w:hint="eastAsia" w:ascii="宋体" w:hAnsi="宋体" w:cs="宋体"/>
          <w:color w:val="auto"/>
          <w:sz w:val="24"/>
          <w:highlight w:val="none"/>
        </w:rPr>
        <w:t>邮    箱：</w:t>
      </w:r>
      <w:r>
        <w:rPr>
          <w:rFonts w:hint="eastAsia" w:ascii="宋体" w:hAnsi="宋体" w:cs="宋体"/>
          <w:color w:val="auto"/>
          <w:sz w:val="24"/>
          <w:highlight w:val="none"/>
          <w:lang w:val="en-US" w:eastAsia="zh-CN"/>
        </w:rPr>
        <w:t>1605956213</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.com</w:t>
      </w:r>
    </w:p>
    <w:p>
      <w:pPr>
        <w:spacing w:line="480" w:lineRule="exact"/>
        <w:ind w:right="150" w:firstLine="480" w:firstLineChars="200"/>
        <w:rPr>
          <w:rFonts w:ascii="宋体" w:hAnsi="宋体" w:cs="宋体"/>
          <w:color w:val="auto"/>
          <w:sz w:val="24"/>
          <w:highlight w:val="none"/>
        </w:rPr>
      </w:pPr>
    </w:p>
    <w:p>
      <w:pPr>
        <w:spacing w:line="400" w:lineRule="exact"/>
        <w:ind w:firstLine="480" w:firstLineChars="200"/>
        <w:rPr>
          <w:color w:val="auto"/>
          <w:sz w:val="24"/>
          <w:highlight w:val="none"/>
        </w:rPr>
      </w:pPr>
    </w:p>
    <w:p>
      <w:pPr>
        <w:wordWrap w:val="0"/>
        <w:spacing w:line="400" w:lineRule="exact"/>
        <w:ind w:firstLine="480" w:firstLineChars="200"/>
        <w:jc w:val="right"/>
        <w:rPr>
          <w:color w:val="auto"/>
          <w:highlight w:val="none"/>
        </w:rPr>
      </w:pP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 xml:space="preserve"> 12 </w:t>
      </w:r>
      <w:r>
        <w:rPr>
          <w:rFonts w:hint="eastAsia"/>
          <w:color w:val="auto"/>
          <w:sz w:val="24"/>
          <w:highlight w:val="none"/>
        </w:rPr>
        <w:t>月</w:t>
      </w:r>
      <w:r>
        <w:rPr>
          <w:rFonts w:hint="eastAsia"/>
          <w:color w:val="auto"/>
          <w:sz w:val="24"/>
          <w:highlight w:val="none"/>
          <w:lang w:val="en-US" w:eastAsia="zh-CN"/>
        </w:rPr>
        <w:t>19</w:t>
      </w:r>
      <w:r>
        <w:rPr>
          <w:rFonts w:hint="eastAsia"/>
          <w:color w:val="auto"/>
          <w:sz w:val="24"/>
          <w:highlight w:val="none"/>
        </w:rPr>
        <w:t>日</w:t>
      </w:r>
    </w:p>
    <w:p>
      <w:pPr>
        <w:pStyle w:val="3"/>
        <w:keepNext w:val="0"/>
        <w:keepLines w:val="0"/>
        <w:topLinePunct/>
        <w:spacing w:line="240" w:lineRule="auto"/>
        <w:rPr>
          <w:color w:val="auto"/>
          <w:highlight w:val="none"/>
        </w:rPr>
      </w:pPr>
      <w:r>
        <w:rPr>
          <w:rFonts w:ascii="宋体" w:hAnsi="宋体"/>
          <w:color w:val="auto"/>
          <w:kern w:val="0"/>
          <w:sz w:val="24"/>
          <w:highlight w:val="none"/>
        </w:rPr>
        <w:br w:type="page"/>
      </w:r>
      <w:bookmarkStart w:id="3" w:name="_Toc450115335"/>
      <w:r>
        <w:rPr>
          <w:rFonts w:hint="eastAsia"/>
          <w:color w:val="auto"/>
          <w:highlight w:val="none"/>
        </w:rPr>
        <w:t>第二章供应商须知</w:t>
      </w:r>
      <w:bookmarkEnd w:id="3"/>
    </w:p>
    <w:p>
      <w:pPr>
        <w:jc w:val="center"/>
        <w:rPr>
          <w:rFonts w:ascii="宋体" w:hAnsi="宋体"/>
          <w:b/>
          <w:color w:val="auto"/>
          <w:sz w:val="28"/>
          <w:szCs w:val="28"/>
          <w:highlight w:val="none"/>
        </w:rPr>
      </w:pPr>
      <w:r>
        <w:rPr>
          <w:rFonts w:hint="eastAsia" w:ascii="宋体" w:hAnsi="宋体"/>
          <w:b/>
          <w:color w:val="auto"/>
          <w:sz w:val="28"/>
          <w:szCs w:val="28"/>
          <w:highlight w:val="none"/>
        </w:rPr>
        <w:t>一、供应商须知前附表</w:t>
      </w:r>
    </w:p>
    <w:tbl>
      <w:tblPr>
        <w:tblStyle w:val="16"/>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46"/>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2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项目</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ascii="宋体" w:hAnsi="宋体"/>
                <w:color w:val="auto"/>
                <w:sz w:val="24"/>
                <w:highlight w:val="none"/>
              </w:rPr>
              <w:t>1</w:t>
            </w:r>
          </w:p>
        </w:tc>
        <w:tc>
          <w:tcPr>
            <w:tcW w:w="2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项目名称、</w:t>
            </w:r>
          </w:p>
          <w:p>
            <w:pPr>
              <w:spacing w:line="440" w:lineRule="exact"/>
              <w:ind w:right="480"/>
              <w:jc w:val="center"/>
              <w:rPr>
                <w:rFonts w:ascii="宋体" w:hAnsi="宋体"/>
                <w:color w:val="auto"/>
                <w:sz w:val="24"/>
                <w:highlight w:val="none"/>
              </w:rPr>
            </w:pPr>
            <w:r>
              <w:rPr>
                <w:rFonts w:hint="eastAsia" w:ascii="宋体" w:hAnsi="宋体"/>
                <w:color w:val="auto"/>
                <w:sz w:val="24"/>
                <w:highlight w:val="none"/>
              </w:rPr>
              <w:t xml:space="preserve">  项目编号及</w:t>
            </w:r>
          </w:p>
          <w:p>
            <w:pPr>
              <w:spacing w:line="440" w:lineRule="exact"/>
              <w:ind w:right="480"/>
              <w:jc w:val="center"/>
              <w:rPr>
                <w:rFonts w:ascii="宋体" w:hAnsi="宋体"/>
                <w:color w:val="auto"/>
                <w:sz w:val="24"/>
                <w:highlight w:val="none"/>
              </w:rPr>
            </w:pPr>
            <w:r>
              <w:rPr>
                <w:rFonts w:hint="eastAsia" w:ascii="宋体" w:hAnsi="宋体"/>
                <w:color w:val="auto"/>
                <w:sz w:val="24"/>
                <w:highlight w:val="none"/>
              </w:rPr>
              <w:t xml:space="preserve">   包号划分</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hint="eastAsia" w:ascii="宋体" w:hAnsi="宋体" w:eastAsiaTheme="minorEastAsia"/>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济宁医学院日照校区车辆定点维修服务采购项目</w:t>
            </w:r>
          </w:p>
          <w:p>
            <w:pPr>
              <w:widowControl/>
              <w:adjustRightInd w:val="0"/>
              <w:spacing w:line="440" w:lineRule="exact"/>
              <w:rPr>
                <w:rFonts w:hint="default" w:ascii="宋体" w:hAnsi="宋体" w:eastAsiaTheme="minorEastAsia"/>
                <w:color w:val="auto"/>
                <w:sz w:val="24"/>
                <w:highlight w:val="none"/>
                <w:lang w:val="en-US" w:eastAsia="zh-CN"/>
              </w:rPr>
            </w:pPr>
            <w:r>
              <w:rPr>
                <w:rFonts w:hint="eastAsia" w:ascii="宋体" w:hAnsi="宋体"/>
                <w:color w:val="auto"/>
                <w:sz w:val="24"/>
                <w:highlight w:val="none"/>
              </w:rPr>
              <w:t>项目编号：HT-201</w:t>
            </w:r>
            <w:r>
              <w:rPr>
                <w:rFonts w:hint="eastAsia" w:ascii="宋体" w:hAnsi="宋体"/>
                <w:color w:val="auto"/>
                <w:sz w:val="24"/>
                <w:highlight w:val="none"/>
                <w:lang w:val="en-US" w:eastAsia="zh-CN"/>
              </w:rPr>
              <w:t>9</w:t>
            </w:r>
            <w:r>
              <w:rPr>
                <w:rFonts w:hint="eastAsia" w:ascii="宋体" w:hAnsi="宋体"/>
                <w:color w:val="auto"/>
                <w:sz w:val="24"/>
                <w:highlight w:val="none"/>
              </w:rPr>
              <w:t>-CG-</w:t>
            </w:r>
            <w:r>
              <w:rPr>
                <w:rFonts w:hint="eastAsia" w:ascii="宋体" w:hAnsi="宋体"/>
                <w:color w:val="auto"/>
                <w:sz w:val="24"/>
                <w:highlight w:val="none"/>
                <w:lang w:val="en-US" w:eastAsia="zh-CN"/>
              </w:rPr>
              <w:t xml:space="preserve">162  </w:t>
            </w:r>
          </w:p>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包号划分：1个包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2</w:t>
            </w:r>
          </w:p>
        </w:tc>
        <w:tc>
          <w:tcPr>
            <w:tcW w:w="2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采购内容</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项目概况：本项目为</w:t>
            </w:r>
            <w:r>
              <w:rPr>
                <w:rFonts w:hint="eastAsia" w:ascii="宋体" w:hAnsi="宋体" w:cs="宋体"/>
                <w:color w:val="auto"/>
                <w:sz w:val="24"/>
                <w:highlight w:val="none"/>
                <w:lang w:eastAsia="zh-CN"/>
              </w:rPr>
              <w:t>济宁医学院日照校区车辆定点维修服务采购项目</w:t>
            </w:r>
            <w:r>
              <w:rPr>
                <w:rFonts w:hint="eastAsia" w:ascii="宋体" w:hAnsi="宋体" w:cs="宋体"/>
                <w:color w:val="auto"/>
                <w:sz w:val="24"/>
                <w:highlight w:val="none"/>
              </w:rPr>
              <w:t>，具体详见竞争性磋商文件第三章项目说明。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3</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rPr>
                <w:rFonts w:ascii="宋体" w:hAnsi="宋体"/>
                <w:color w:val="auto"/>
                <w:sz w:val="24"/>
                <w:highlight w:val="none"/>
              </w:rPr>
            </w:pPr>
            <w:r>
              <w:rPr>
                <w:rFonts w:hint="eastAsia" w:ascii="宋体" w:hAnsi="宋体"/>
                <w:color w:val="auto"/>
                <w:sz w:val="24"/>
                <w:highlight w:val="none"/>
              </w:rPr>
              <w:t>采购人、联系人及联系电话</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olor w:val="auto"/>
                <w:kern w:val="0"/>
                <w:sz w:val="24"/>
                <w:highlight w:val="none"/>
              </w:rPr>
            </w:pPr>
            <w:r>
              <w:rPr>
                <w:rFonts w:hint="eastAsia" w:ascii="宋体" w:hAnsi="宋体"/>
                <w:color w:val="auto"/>
                <w:kern w:val="0"/>
                <w:sz w:val="24"/>
                <w:highlight w:val="none"/>
              </w:rPr>
              <w:t>采购人：济宁市医学院</w:t>
            </w:r>
          </w:p>
          <w:p>
            <w:pPr>
              <w:spacing w:line="440" w:lineRule="exact"/>
              <w:jc w:val="left"/>
              <w:rPr>
                <w:rFonts w:hint="default" w:ascii="宋体" w:hAnsi="宋体" w:cs="Arial" w:eastAsiaTheme="minorEastAsia"/>
                <w:color w:val="auto"/>
                <w:sz w:val="24"/>
                <w:highlight w:val="none"/>
                <w:lang w:val="en-US" w:eastAsia="zh-CN"/>
              </w:rPr>
            </w:pPr>
            <w:r>
              <w:rPr>
                <w:rFonts w:hint="eastAsia" w:ascii="宋体" w:hAnsi="宋体"/>
                <w:color w:val="auto"/>
                <w:kern w:val="0"/>
                <w:sz w:val="24"/>
                <w:highlight w:val="none"/>
              </w:rPr>
              <w:t>联 系 人：王主任     联系电话：0537-36161</w:t>
            </w:r>
            <w:r>
              <w:rPr>
                <w:rFonts w:hint="eastAsia" w:ascii="宋体" w:hAnsi="宋体"/>
                <w:color w:val="auto"/>
                <w:kern w:val="0"/>
                <w:sz w:val="24"/>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4</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rPr>
                <w:rFonts w:ascii="宋体" w:hAnsi="宋体"/>
                <w:color w:val="auto"/>
                <w:sz w:val="24"/>
                <w:highlight w:val="none"/>
              </w:rPr>
            </w:pPr>
            <w:r>
              <w:rPr>
                <w:rFonts w:hint="eastAsia" w:ascii="宋体" w:hAnsi="宋体"/>
                <w:color w:val="auto"/>
                <w:sz w:val="24"/>
                <w:highlight w:val="none"/>
              </w:rPr>
              <w:t>采购代理机构、联系人及联系电话</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Arial"/>
                <w:color w:val="auto"/>
                <w:sz w:val="24"/>
                <w:highlight w:val="none"/>
              </w:rPr>
            </w:pPr>
            <w:r>
              <w:rPr>
                <w:rFonts w:hint="eastAsia" w:ascii="宋体" w:hAnsi="宋体" w:cs="Arial"/>
                <w:color w:val="auto"/>
                <w:sz w:val="24"/>
                <w:highlight w:val="none"/>
              </w:rPr>
              <w:t xml:space="preserve">采购代理机构：山东衡天咨询有限公司 </w:t>
            </w:r>
          </w:p>
          <w:p>
            <w:pPr>
              <w:spacing w:line="440" w:lineRule="exact"/>
              <w:rPr>
                <w:rFonts w:ascii="宋体" w:hAnsi="宋体" w:cs="Arial"/>
                <w:color w:val="auto"/>
                <w:sz w:val="24"/>
                <w:highlight w:val="none"/>
              </w:rPr>
            </w:pPr>
            <w:r>
              <w:rPr>
                <w:rFonts w:hint="eastAsia" w:ascii="宋体" w:hAnsi="宋体" w:cs="Arial"/>
                <w:color w:val="auto"/>
                <w:sz w:val="24"/>
                <w:highlight w:val="none"/>
              </w:rPr>
              <w:t>联系地址：济宁市任城大道翠都国际A座22楼</w:t>
            </w:r>
          </w:p>
          <w:p>
            <w:pPr>
              <w:spacing w:line="440" w:lineRule="exact"/>
              <w:rPr>
                <w:rFonts w:hint="eastAsia" w:ascii="宋体" w:hAnsi="宋体" w:cs="Arial"/>
                <w:color w:val="auto"/>
                <w:sz w:val="24"/>
                <w:highlight w:val="none"/>
              </w:rPr>
            </w:pPr>
            <w:r>
              <w:rPr>
                <w:rFonts w:hint="eastAsia" w:ascii="宋体" w:hAnsi="宋体" w:cs="Arial"/>
                <w:color w:val="auto"/>
                <w:sz w:val="24"/>
                <w:highlight w:val="none"/>
              </w:rPr>
              <w:t>联系人：</w:t>
            </w:r>
            <w:r>
              <w:rPr>
                <w:rFonts w:hint="eastAsia"/>
                <w:color w:val="auto"/>
                <w:sz w:val="24"/>
                <w:highlight w:val="none"/>
                <w:lang w:eastAsia="zh-CN"/>
              </w:rPr>
              <w:t>梁经理</w:t>
            </w:r>
          </w:p>
          <w:p>
            <w:pPr>
              <w:spacing w:line="440" w:lineRule="exact"/>
              <w:rPr>
                <w:rFonts w:ascii="宋体" w:hAnsi="宋体" w:cs="Arial"/>
                <w:color w:val="auto"/>
                <w:sz w:val="24"/>
                <w:highlight w:val="none"/>
              </w:rPr>
            </w:pPr>
            <w:r>
              <w:rPr>
                <w:rFonts w:hint="eastAsia" w:ascii="宋体" w:hAnsi="宋体" w:cs="Arial"/>
                <w:color w:val="auto"/>
                <w:sz w:val="24"/>
                <w:highlight w:val="none"/>
              </w:rPr>
              <w:t xml:space="preserve">联系电话:0537-2489666 </w:t>
            </w:r>
            <w:r>
              <w:rPr>
                <w:rFonts w:ascii="宋体" w:hAnsi="宋体" w:cs="Arial"/>
                <w:color w:val="auto"/>
                <w:sz w:val="24"/>
                <w:highlight w:val="none"/>
              </w:rPr>
              <w:t xml:space="preserve"> </w:t>
            </w:r>
            <w:r>
              <w:rPr>
                <w:rFonts w:hint="eastAsia" w:ascii="宋体" w:hAnsi="宋体" w:cs="Arial"/>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5</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采购方式</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6</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资金来源</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olor w:val="auto"/>
                <w:sz w:val="24"/>
                <w:highlight w:val="none"/>
              </w:rPr>
            </w:pPr>
            <w:r>
              <w:rPr>
                <w:rFonts w:hint="eastAsia" w:ascii="宋体" w:hAnsi="宋体"/>
                <w:color w:val="auto"/>
                <w:sz w:val="24"/>
                <w:highlight w:val="none"/>
              </w:rPr>
              <w:t xml:space="preserve"> 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付款方式</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left"/>
              <w:rPr>
                <w:rFonts w:ascii="宋体" w:hAnsi="宋体"/>
                <w:color w:val="auto"/>
                <w:sz w:val="24"/>
                <w:highlight w:val="none"/>
              </w:rPr>
            </w:pPr>
            <w:r>
              <w:rPr>
                <w:rFonts w:hint="eastAsia" w:ascii="宋体" w:hAnsi="宋体"/>
                <w:color w:val="auto"/>
                <w:sz w:val="24"/>
                <w:highlight w:val="none"/>
              </w:rPr>
              <w:t>按月付款，每月末供应商、采购人双方对账，账目核对无误后，由供应商出具真实有效的发票，采购人全额支付当月维修费用。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供应商资格要求</w:t>
            </w:r>
          </w:p>
          <w:p>
            <w:pPr>
              <w:widowControl/>
              <w:adjustRightInd w:val="0"/>
              <w:spacing w:line="440" w:lineRule="exact"/>
              <w:jc w:val="center"/>
              <w:rPr>
                <w:rFonts w:ascii="宋体" w:hAnsi="宋体"/>
                <w:color w:val="auto"/>
                <w:sz w:val="24"/>
                <w:highlight w:val="none"/>
              </w:rPr>
            </w:pPr>
          </w:p>
        </w:tc>
        <w:tc>
          <w:tcPr>
            <w:tcW w:w="74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color w:val="auto"/>
                <w:sz w:val="24"/>
                <w:highlight w:val="none"/>
              </w:rPr>
            </w:pPr>
            <w:r>
              <w:rPr>
                <w:rFonts w:hint="eastAsia"/>
                <w:color w:val="auto"/>
                <w:sz w:val="24"/>
                <w:highlight w:val="none"/>
              </w:rPr>
              <w:t>1、供应商必须在中国境内注册，具有独立法人资格，并在人员、设备、资金等方面具有相应的服务能力，</w:t>
            </w:r>
          </w:p>
          <w:p>
            <w:pPr>
              <w:widowControl/>
              <w:spacing w:line="400" w:lineRule="exact"/>
              <w:rPr>
                <w:color w:val="auto"/>
                <w:sz w:val="24"/>
                <w:highlight w:val="none"/>
              </w:rPr>
            </w:pPr>
            <w:r>
              <w:rPr>
                <w:rFonts w:hint="eastAsia"/>
                <w:color w:val="auto"/>
                <w:sz w:val="24"/>
                <w:highlight w:val="none"/>
              </w:rPr>
              <w:t>2、具备有效的营业执照；</w:t>
            </w:r>
          </w:p>
          <w:p>
            <w:pPr>
              <w:widowControl/>
              <w:spacing w:line="400" w:lineRule="exact"/>
              <w:rPr>
                <w:color w:val="auto"/>
                <w:sz w:val="24"/>
                <w:highlight w:val="none"/>
              </w:rPr>
            </w:pPr>
            <w:r>
              <w:rPr>
                <w:rFonts w:hint="eastAsia"/>
                <w:color w:val="auto"/>
                <w:sz w:val="24"/>
                <w:highlight w:val="none"/>
              </w:rPr>
              <w:t>3、供应商（维修企业）营业场所必须在山东省济宁市城区（提供合法的房屋、场地产权证明或有效期内的房屋及场地租赁合同原件）；</w:t>
            </w:r>
          </w:p>
          <w:p>
            <w:pPr>
              <w:widowControl/>
              <w:spacing w:line="400" w:lineRule="exact"/>
              <w:rPr>
                <w:color w:val="auto"/>
                <w:sz w:val="24"/>
                <w:highlight w:val="none"/>
              </w:rPr>
            </w:pPr>
            <w:r>
              <w:rPr>
                <w:rFonts w:hint="eastAsia"/>
                <w:color w:val="auto"/>
                <w:sz w:val="24"/>
                <w:highlight w:val="none"/>
              </w:rPr>
              <w:t>4、供应商应具有交通主管部门颁发的三类（含）以上汽车维修经营许可证；</w:t>
            </w:r>
          </w:p>
          <w:p>
            <w:pPr>
              <w:widowControl/>
              <w:spacing w:line="400" w:lineRule="exact"/>
              <w:rPr>
                <w:color w:val="auto"/>
                <w:sz w:val="24"/>
                <w:highlight w:val="none"/>
              </w:rPr>
            </w:pPr>
            <w:r>
              <w:rPr>
                <w:rFonts w:hint="eastAsia"/>
                <w:color w:val="auto"/>
                <w:sz w:val="24"/>
                <w:highlight w:val="none"/>
              </w:rPr>
              <w:t>5、供应商须满足《中华人民共和国政府采购法》第22条规定；</w:t>
            </w:r>
          </w:p>
          <w:p>
            <w:pPr>
              <w:widowControl/>
              <w:spacing w:line="400" w:lineRule="exact"/>
              <w:rPr>
                <w:color w:val="auto"/>
                <w:sz w:val="24"/>
                <w:highlight w:val="none"/>
              </w:rPr>
            </w:pPr>
            <w:r>
              <w:rPr>
                <w:rFonts w:hint="eastAsia"/>
                <w:color w:val="auto"/>
                <w:sz w:val="24"/>
                <w:highlight w:val="none"/>
              </w:rPr>
              <w:t>6、本项目不接受联合体投标；</w:t>
            </w:r>
          </w:p>
          <w:p>
            <w:pPr>
              <w:widowControl/>
              <w:spacing w:line="400" w:lineRule="exact"/>
              <w:rPr>
                <w:rFonts w:ascii="宋体" w:hAnsi="宋体" w:cs="宋体"/>
                <w:color w:val="auto"/>
                <w:kern w:val="0"/>
                <w:sz w:val="24"/>
                <w:highlight w:val="none"/>
              </w:rPr>
            </w:pPr>
            <w:r>
              <w:rPr>
                <w:rFonts w:hint="eastAsia"/>
                <w:color w:val="auto"/>
                <w:sz w:val="24"/>
                <w:highlight w:val="none"/>
              </w:rPr>
              <w:t>7、资格审查方式：资格后审。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资格审查及递交响应文件时需携带的证件</w:t>
            </w:r>
          </w:p>
        </w:tc>
        <w:tc>
          <w:tcPr>
            <w:tcW w:w="744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color w:val="auto"/>
                <w:sz w:val="24"/>
                <w:highlight w:val="none"/>
              </w:rPr>
            </w:pPr>
            <w:r>
              <w:rPr>
                <w:rFonts w:eastAsia="宋体" w:cs="Times New Roman"/>
                <w:color w:val="auto"/>
                <w:sz w:val="24"/>
                <w:highlight w:val="none"/>
              </w:rPr>
              <w:t>1</w:t>
            </w:r>
            <w:r>
              <w:rPr>
                <w:rFonts w:hint="eastAsia" w:eastAsia="宋体" w:cs="Times New Roman"/>
                <w:color w:val="auto"/>
                <w:sz w:val="24"/>
                <w:highlight w:val="none"/>
              </w:rPr>
              <w:t>、</w:t>
            </w:r>
            <w:r>
              <w:rPr>
                <w:rFonts w:hint="eastAsia" w:eastAsia="宋体" w:cs="宋体"/>
                <w:color w:val="auto"/>
                <w:sz w:val="24"/>
                <w:highlight w:val="none"/>
              </w:rPr>
              <w:t>供应商应将需要磋商小组验证的相关证件、资料</w:t>
            </w:r>
            <w:r>
              <w:rPr>
                <w:rFonts w:hint="eastAsia" w:eastAsia="宋体" w:cs="宋体"/>
                <w:b/>
                <w:color w:val="auto"/>
                <w:sz w:val="24"/>
                <w:highlight w:val="none"/>
              </w:rPr>
              <w:t>包括：营业执照原件，汽车维修经营许可证</w:t>
            </w:r>
            <w:r>
              <w:rPr>
                <w:rFonts w:hint="eastAsia" w:eastAsia="宋体" w:cs="宋体"/>
                <w:b/>
                <w:color w:val="auto"/>
                <w:sz w:val="24"/>
                <w:highlight w:val="none"/>
                <w:lang w:eastAsia="zh-CN"/>
              </w:rPr>
              <w:t>原件</w:t>
            </w:r>
            <w:r>
              <w:rPr>
                <w:rFonts w:hint="eastAsia" w:eastAsia="宋体" w:cs="宋体"/>
                <w:b/>
                <w:color w:val="auto"/>
                <w:sz w:val="24"/>
                <w:highlight w:val="none"/>
              </w:rPr>
              <w:t>，合法的房屋、场地产权证明或有效期内的房屋及场地租赁合同原件，法定代表人授权委托书及被授权人身份证（有效期内）原件</w:t>
            </w:r>
            <w:r>
              <w:rPr>
                <w:rFonts w:hint="eastAsia" w:eastAsia="宋体" w:cs="宋体"/>
                <w:b/>
                <w:bCs w:val="0"/>
                <w:color w:val="auto"/>
                <w:sz w:val="24"/>
                <w:highlight w:val="none"/>
              </w:rPr>
              <w:t>（如供应商因特殊原因暂时无法提供以上证件的原件，同意接受以上证件加盖公章的复印件，在合同签订前须向采购人出具各证件原件接受审查）</w:t>
            </w:r>
            <w:r>
              <w:rPr>
                <w:rFonts w:hint="eastAsia" w:eastAsia="宋体" w:cs="宋体"/>
                <w:b w:val="0"/>
                <w:bCs/>
                <w:color w:val="auto"/>
                <w:sz w:val="24"/>
                <w:highlight w:val="none"/>
              </w:rPr>
              <w:t>，未提供或者提供不全的，磋商小组将否决其投标。企业信誉，业绩及评分办法要求的证件密封</w:t>
            </w:r>
            <w:r>
              <w:rPr>
                <w:rFonts w:hint="eastAsia" w:eastAsia="宋体" w:cs="宋体"/>
                <w:color w:val="auto"/>
                <w:sz w:val="24"/>
                <w:highlight w:val="none"/>
              </w:rPr>
              <w:t>包装，在递交响应文件时一并提交，否则不予接受。</w:t>
            </w:r>
          </w:p>
          <w:p>
            <w:pPr>
              <w:spacing w:line="400" w:lineRule="exact"/>
              <w:ind w:firstLine="235" w:firstLineChars="98"/>
              <w:rPr>
                <w:rFonts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供应商还应将需要磋商小组验证的相关业绩信誉证件与上述资格证件统一密封包装，在递交响应文件时一并提交。</w:t>
            </w:r>
          </w:p>
          <w:p>
            <w:pPr>
              <w:widowControl/>
              <w:adjustRightInd w:val="0"/>
              <w:spacing w:line="440" w:lineRule="exact"/>
              <w:ind w:firstLine="480" w:firstLineChars="200"/>
              <w:rPr>
                <w:rFonts w:ascii="宋体" w:hAnsi="宋体"/>
                <w:color w:val="auto"/>
                <w:sz w:val="24"/>
                <w:highlight w:val="none"/>
              </w:rPr>
            </w:pPr>
            <w:r>
              <w:rPr>
                <w:rFonts w:hint="eastAsia" w:ascii="宋体" w:hAnsi="宋体"/>
                <w:bCs/>
                <w:color w:val="auto"/>
                <w:sz w:val="24"/>
                <w:highlight w:val="none"/>
              </w:rPr>
              <w:t>供应商所提供的所有证件及业绩应真实有效，否则将做响应无效。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10</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参加磋商会议时供应商需要携带的</w:t>
            </w:r>
          </w:p>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证件</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、供应商的法定代表人（或其委托代理人）应按时参加磋商会议。</w:t>
            </w:r>
          </w:p>
          <w:p>
            <w:pPr>
              <w:widowControl/>
              <w:adjustRightInd w:val="0"/>
              <w:spacing w:line="440" w:lineRule="exac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、供应商法定代表人参加磋商会议的，需提交其身份证原件；委托代理人参加磋商会议的，需提交其身份证原件及针对本项目的授权委托书原件。（不必密封）</w:t>
            </w:r>
          </w:p>
          <w:p>
            <w:pPr>
              <w:widowControl/>
              <w:adjustRightIn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未按规定提交证件的供应商，其响应文件将被拒绝。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11</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供应商提报虚假材料应承担的责任</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供应商必须对其响应文件中提供各种资料、说明的真实性负责。在评标过程中，发现供应商有为谋取成交而提供虚假资料欺骗采购人和评标委员会的行为，将取消其成交资格。定标后，采购人有可能对成交供应商响应文件中的承诺内容和证明材料进行核查，成交供应商应无条件配合采购人的核查工作，不得托词拒绝核查或隐瞒真实情况。发现成交供应商是提供虚假材料谋取成交等违法违规行为，采购人将取消其成交供应商资格，给采购人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12</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投标有效期</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13</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响应文件份数</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hint="eastAsia" w:ascii="宋体" w:hAnsi="宋体" w:eastAsiaTheme="minorEastAsia"/>
                <w:color w:val="auto"/>
                <w:sz w:val="24"/>
                <w:highlight w:val="none"/>
                <w:lang w:eastAsia="zh-CN"/>
              </w:rPr>
            </w:pPr>
            <w:r>
              <w:rPr>
                <w:rFonts w:hint="eastAsia" w:ascii="宋体" w:hAnsi="宋体"/>
                <w:color w:val="auto"/>
                <w:sz w:val="24"/>
                <w:highlight w:val="none"/>
              </w:rPr>
              <w:t>正本壹份、副本肆份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电子版：U盘一份</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14</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递交纸质响应文件截止时间</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30</w:t>
            </w:r>
            <w:r>
              <w:rPr>
                <w:rFonts w:hint="eastAsia"/>
                <w:color w:val="auto"/>
                <w:sz w:val="24"/>
                <w:highlight w:val="none"/>
              </w:rPr>
              <w:t>日</w:t>
            </w:r>
            <w:r>
              <w:rPr>
                <w:rFonts w:hint="eastAsia"/>
                <w:color w:val="auto"/>
                <w:sz w:val="24"/>
                <w:highlight w:val="none"/>
                <w:lang w:val="en-US" w:eastAsia="zh-CN"/>
              </w:rPr>
              <w:t>9</w:t>
            </w:r>
            <w:r>
              <w:rPr>
                <w:rFonts w:hint="eastAsia"/>
                <w:color w:val="auto"/>
                <w:sz w:val="24"/>
                <w:highlight w:val="none"/>
              </w:rPr>
              <w:t>:</w:t>
            </w:r>
            <w:r>
              <w:rPr>
                <w:rFonts w:hint="eastAsia"/>
                <w:color w:val="auto"/>
                <w:sz w:val="24"/>
                <w:highlight w:val="none"/>
                <w:lang w:val="en-US" w:eastAsia="zh-CN"/>
              </w:rPr>
              <w:t>00</w:t>
            </w:r>
            <w:r>
              <w:rPr>
                <w:rFonts w:hint="eastAsia"/>
                <w:color w:val="auto"/>
                <w:sz w:val="24"/>
                <w:highlight w:val="none"/>
              </w:rPr>
              <w:t>时</w:t>
            </w:r>
            <w:r>
              <w:rPr>
                <w:rFonts w:hint="eastAsia" w:ascii="宋体" w:hAnsi="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15</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s="宋体"/>
                <w:color w:val="auto"/>
                <w:kern w:val="0"/>
                <w:sz w:val="24"/>
                <w:highlight w:val="none"/>
              </w:rPr>
              <w:t>响应文件开起时间</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auto"/>
                <w:kern w:val="0"/>
                <w:sz w:val="24"/>
                <w:highlight w:val="none"/>
              </w:rPr>
            </w:pP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30</w:t>
            </w:r>
            <w:r>
              <w:rPr>
                <w:rFonts w:hint="eastAsia"/>
                <w:color w:val="auto"/>
                <w:sz w:val="24"/>
                <w:highlight w:val="none"/>
              </w:rPr>
              <w:t>日</w:t>
            </w:r>
            <w:r>
              <w:rPr>
                <w:rFonts w:hint="eastAsia"/>
                <w:color w:val="auto"/>
                <w:sz w:val="24"/>
                <w:highlight w:val="none"/>
                <w:lang w:val="en-US" w:eastAsia="zh-CN"/>
              </w:rPr>
              <w:t>9</w:t>
            </w:r>
            <w:r>
              <w:rPr>
                <w:rFonts w:hint="eastAsia"/>
                <w:color w:val="auto"/>
                <w:sz w:val="24"/>
                <w:highlight w:val="none"/>
              </w:rPr>
              <w:t>:</w:t>
            </w:r>
            <w:r>
              <w:rPr>
                <w:rFonts w:hint="eastAsia"/>
                <w:color w:val="auto"/>
                <w:sz w:val="24"/>
                <w:highlight w:val="none"/>
                <w:lang w:val="en-US" w:eastAsia="zh-CN"/>
              </w:rPr>
              <w:t>0</w:t>
            </w:r>
            <w:r>
              <w:rPr>
                <w:rFonts w:hint="eastAsia"/>
                <w:color w:val="auto"/>
                <w:sz w:val="24"/>
                <w:highlight w:val="none"/>
              </w:rPr>
              <w:t>0时</w:t>
            </w:r>
            <w:r>
              <w:rPr>
                <w:rFonts w:hint="eastAsia" w:ascii="宋体" w:hAnsi="宋体"/>
                <w:color w:val="auto"/>
                <w:sz w:val="24"/>
                <w:highlight w:val="none"/>
              </w:rPr>
              <w:t>之后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16</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磋商会议时间、</w:t>
            </w:r>
          </w:p>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地点</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时间：</w:t>
            </w: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 xml:space="preserve">12 </w:t>
            </w:r>
            <w:r>
              <w:rPr>
                <w:rFonts w:hint="eastAsia"/>
                <w:color w:val="auto"/>
                <w:sz w:val="24"/>
                <w:highlight w:val="none"/>
              </w:rPr>
              <w:t>月</w:t>
            </w:r>
            <w:r>
              <w:rPr>
                <w:rFonts w:hint="eastAsia"/>
                <w:color w:val="auto"/>
                <w:sz w:val="24"/>
                <w:highlight w:val="none"/>
                <w:lang w:val="en-US" w:eastAsia="zh-CN"/>
              </w:rPr>
              <w:t xml:space="preserve">30 </w:t>
            </w:r>
            <w:r>
              <w:rPr>
                <w:rFonts w:hint="eastAsia"/>
                <w:color w:val="auto"/>
                <w:sz w:val="24"/>
                <w:highlight w:val="none"/>
              </w:rPr>
              <w:t>日</w:t>
            </w:r>
            <w:r>
              <w:rPr>
                <w:rFonts w:hint="eastAsia"/>
                <w:color w:val="auto"/>
                <w:sz w:val="24"/>
                <w:highlight w:val="none"/>
                <w:lang w:val="en-US" w:eastAsia="zh-CN"/>
              </w:rPr>
              <w:t>9</w:t>
            </w:r>
            <w:r>
              <w:rPr>
                <w:rFonts w:hint="eastAsia"/>
                <w:color w:val="auto"/>
                <w:sz w:val="24"/>
                <w:highlight w:val="none"/>
              </w:rPr>
              <w:t>:</w:t>
            </w:r>
            <w:r>
              <w:rPr>
                <w:rFonts w:hint="eastAsia"/>
                <w:color w:val="auto"/>
                <w:sz w:val="24"/>
                <w:highlight w:val="none"/>
                <w:lang w:val="en-US" w:eastAsia="zh-CN"/>
              </w:rPr>
              <w:t>00</w:t>
            </w:r>
            <w:r>
              <w:rPr>
                <w:rFonts w:hint="eastAsia"/>
                <w:color w:val="auto"/>
                <w:sz w:val="24"/>
                <w:highlight w:val="none"/>
              </w:rPr>
              <w:t>时（</w:t>
            </w:r>
            <w:r>
              <w:rPr>
                <w:rFonts w:hint="eastAsia" w:ascii="宋体" w:hAnsi="宋体"/>
                <w:color w:val="auto"/>
                <w:sz w:val="24"/>
                <w:highlight w:val="none"/>
              </w:rPr>
              <w:t>北京时间）</w:t>
            </w:r>
          </w:p>
          <w:p>
            <w:pPr>
              <w:widowControl/>
              <w:spacing w:line="440" w:lineRule="exact"/>
              <w:jc w:val="left"/>
              <w:rPr>
                <w:rFonts w:hint="eastAsia" w:ascii="宋体" w:hAnsi="宋体" w:cs="宋体" w:eastAsiaTheme="minorEastAsia"/>
                <w:color w:val="auto"/>
                <w:kern w:val="0"/>
                <w:sz w:val="24"/>
                <w:highlight w:val="none"/>
                <w:lang w:val="en-US" w:eastAsia="zh-CN"/>
              </w:rPr>
            </w:pPr>
            <w:r>
              <w:rPr>
                <w:rFonts w:hint="eastAsia" w:ascii="宋体" w:hAnsi="宋体"/>
                <w:color w:val="auto"/>
                <w:sz w:val="24"/>
                <w:highlight w:val="none"/>
              </w:rPr>
              <w:t>地点：</w:t>
            </w:r>
            <w:r>
              <w:rPr>
                <w:rFonts w:hint="eastAsia" w:ascii="宋体" w:hAnsi="宋体"/>
                <w:color w:val="auto"/>
                <w:sz w:val="24"/>
                <w:highlight w:val="none"/>
                <w:lang w:eastAsia="zh-CN"/>
              </w:rPr>
              <w:t>济宁医学院日照校区主楼1013室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17</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评审方法</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color w:val="auto"/>
                <w:sz w:val="24"/>
                <w:highlight w:val="none"/>
              </w:rPr>
            </w:pPr>
            <w:r>
              <w:rPr>
                <w:rFonts w:hint="eastAsia" w:ascii="宋体" w:hAnsi="宋体"/>
                <w:color w:val="auto"/>
                <w:sz w:val="24"/>
                <w:highlight w:val="none"/>
              </w:rPr>
              <w:t>18</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磋商保证金</w:t>
            </w:r>
          </w:p>
        </w:tc>
        <w:tc>
          <w:tcPr>
            <w:tcW w:w="744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3"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19</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响应文件</w:t>
            </w:r>
          </w:p>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的密封要求</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密封套应标注项目名称、供应商名称等内容，密封套封口处应加盖供应商单位公章。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33"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纸质响应文件</w:t>
            </w:r>
          </w:p>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装订要求</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1、响应文件的正本与副本应分别装订成册。</w:t>
            </w:r>
          </w:p>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2、响应文件每册均须采用胶装方式在左侧装订，装订须牢固不易拆散和换页，不得采用活页方式装订，否则做无效投标处理。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20</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质量要求</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color w:val="auto"/>
                <w:sz w:val="24"/>
                <w:highlight w:val="none"/>
              </w:rPr>
              <w:t>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21</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安全要求</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符合国家安全生产管理相关规定。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22</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服务周期</w:t>
            </w:r>
          </w:p>
        </w:tc>
        <w:tc>
          <w:tcPr>
            <w:tcW w:w="74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rPr>
                <w:rFonts w:ascii="宋体" w:hAnsi="宋体"/>
                <w:color w:val="auto"/>
                <w:sz w:val="24"/>
                <w:highlight w:val="none"/>
              </w:rPr>
            </w:pPr>
            <w:r>
              <w:rPr>
                <w:rFonts w:hint="eastAsia"/>
                <w:color w:val="auto"/>
                <w:kern w:val="10"/>
                <w:sz w:val="24"/>
                <w:highlight w:val="none"/>
                <w:u w:val="single"/>
              </w:rPr>
              <w:t xml:space="preserve"> 1 </w:t>
            </w:r>
            <w:r>
              <w:rPr>
                <w:rFonts w:hint="eastAsia"/>
                <w:color w:val="auto"/>
                <w:kern w:val="10"/>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23</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ascii="宋体" w:hAnsi="宋体"/>
                <w:color w:val="auto"/>
                <w:sz w:val="24"/>
                <w:highlight w:val="none"/>
              </w:rPr>
              <w:t>履约</w:t>
            </w:r>
            <w:r>
              <w:rPr>
                <w:rFonts w:hint="eastAsia" w:ascii="宋体" w:hAnsi="宋体"/>
                <w:color w:val="auto"/>
                <w:sz w:val="24"/>
                <w:highlight w:val="none"/>
              </w:rPr>
              <w:t>保证金</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签订合同前向采购人缴纳</w:t>
            </w:r>
            <w:r>
              <w:rPr>
                <w:rFonts w:hint="eastAsia" w:ascii="宋体" w:hAnsi="宋体"/>
                <w:color w:val="auto"/>
                <w:sz w:val="24"/>
                <w:highlight w:val="none"/>
                <w:lang w:val="en-US" w:eastAsia="zh-CN"/>
              </w:rPr>
              <w:t>1</w:t>
            </w:r>
            <w:r>
              <w:rPr>
                <w:rFonts w:hint="eastAsia" w:ascii="宋体" w:hAnsi="宋体"/>
                <w:color w:val="auto"/>
                <w:sz w:val="24"/>
                <w:highlight w:val="none"/>
              </w:rPr>
              <w:t>000元的履约保证金，合同履行完毕且无违约行为一次性无息返还。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24</w:t>
            </w:r>
          </w:p>
        </w:tc>
        <w:tc>
          <w:tcPr>
            <w:tcW w:w="21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近年财务状况的年份要求</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highlight w:val="none"/>
              </w:rPr>
            </w:pPr>
            <w:r>
              <w:rPr>
                <w:rFonts w:hint="eastAsia" w:ascii="宋体" w:hAnsi="宋体"/>
                <w:color w:val="auto"/>
                <w:sz w:val="24"/>
                <w:highlight w:val="none"/>
              </w:rPr>
              <w:t>近三年（201</w:t>
            </w:r>
            <w:r>
              <w:rPr>
                <w:rFonts w:hint="eastAsia" w:ascii="宋体" w:hAnsi="宋体"/>
                <w:color w:val="auto"/>
                <w:sz w:val="24"/>
                <w:highlight w:val="none"/>
                <w:lang w:val="en-US" w:eastAsia="zh-CN"/>
              </w:rPr>
              <w:t>6</w:t>
            </w:r>
            <w:r>
              <w:rPr>
                <w:rFonts w:hint="eastAsia" w:ascii="宋体" w:hAnsi="宋体"/>
                <w:color w:val="auto"/>
                <w:sz w:val="24"/>
                <w:highlight w:val="none"/>
              </w:rPr>
              <w:t>年1月1日至开标日期）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25</w:t>
            </w:r>
          </w:p>
        </w:tc>
        <w:tc>
          <w:tcPr>
            <w:tcW w:w="21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近年完成的类似项目的年份要求</w:t>
            </w:r>
          </w:p>
        </w:tc>
        <w:tc>
          <w:tcPr>
            <w:tcW w:w="744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olor w:val="auto"/>
                <w:sz w:val="24"/>
                <w:highlight w:val="none"/>
              </w:rPr>
            </w:pPr>
            <w:r>
              <w:rPr>
                <w:rFonts w:hint="eastAsia" w:ascii="宋体" w:hAnsi="宋体"/>
                <w:color w:val="auto"/>
                <w:sz w:val="24"/>
                <w:highlight w:val="none"/>
              </w:rPr>
              <w:t>近三年（201</w:t>
            </w:r>
            <w:r>
              <w:rPr>
                <w:rFonts w:hint="eastAsia" w:ascii="宋体" w:hAnsi="宋体"/>
                <w:color w:val="auto"/>
                <w:sz w:val="24"/>
                <w:highlight w:val="none"/>
                <w:lang w:val="en-US" w:eastAsia="zh-CN"/>
              </w:rPr>
              <w:t>6</w:t>
            </w:r>
            <w:r>
              <w:rPr>
                <w:rFonts w:hint="eastAsia" w:ascii="宋体" w:hAnsi="宋体"/>
                <w:color w:val="auto"/>
                <w:sz w:val="24"/>
                <w:highlight w:val="none"/>
              </w:rPr>
              <w:t>年1月1日至开标日期），以合同签订时间为准。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偏离</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eastAsia="宋体"/>
                <w:color w:val="auto"/>
                <w:sz w:val="24"/>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27</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代理服务费及磋商文件售价</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、代理服务费</w:t>
            </w:r>
            <w:r>
              <w:rPr>
                <w:rFonts w:hint="eastAsia" w:ascii="宋体" w:hAnsi="宋体"/>
                <w:color w:val="auto"/>
                <w:sz w:val="24"/>
                <w:highlight w:val="none"/>
                <w:lang w:eastAsia="zh-CN"/>
              </w:rPr>
              <w:t>：</w:t>
            </w:r>
            <w:r>
              <w:rPr>
                <w:rFonts w:hint="eastAsia" w:ascii="宋体" w:hAnsi="宋体"/>
                <w:color w:val="auto"/>
                <w:sz w:val="24"/>
                <w:highlight w:val="none"/>
              </w:rPr>
              <w:t>成交供应商应在接到成交通知书的同时向采购代理机构缴纳采购代理费,采购代理费：</w:t>
            </w:r>
            <w:r>
              <w:rPr>
                <w:rFonts w:hint="eastAsia" w:ascii="宋体" w:hAnsi="宋体"/>
                <w:color w:val="auto"/>
                <w:sz w:val="24"/>
                <w:highlight w:val="none"/>
                <w:lang w:val="en-US" w:eastAsia="zh-CN"/>
              </w:rPr>
              <w:t>1500</w:t>
            </w:r>
            <w:r>
              <w:rPr>
                <w:rFonts w:hint="eastAsia" w:ascii="宋体" w:hAnsi="宋体"/>
                <w:color w:val="auto"/>
                <w:sz w:val="24"/>
                <w:highlight w:val="none"/>
              </w:rPr>
              <w:t>元。</w:t>
            </w:r>
          </w:p>
          <w:p>
            <w:pPr>
              <w:widowControl/>
              <w:adjustRightInd w:val="0"/>
              <w:spacing w:line="440" w:lineRule="exact"/>
              <w:rPr>
                <w:rFonts w:ascii="宋体" w:hAnsi="宋体"/>
                <w:color w:val="auto"/>
                <w:kern w:val="0"/>
                <w:sz w:val="24"/>
                <w:highlight w:val="none"/>
              </w:rPr>
            </w:pPr>
            <w:r>
              <w:rPr>
                <w:rFonts w:ascii="宋体" w:hAnsi="宋体"/>
                <w:color w:val="auto"/>
                <w:sz w:val="24"/>
                <w:highlight w:val="none"/>
              </w:rPr>
              <w:t>2</w:t>
            </w:r>
            <w:r>
              <w:rPr>
                <w:rFonts w:hint="eastAsia" w:ascii="宋体" w:hAnsi="宋体"/>
                <w:color w:val="auto"/>
                <w:sz w:val="24"/>
                <w:highlight w:val="none"/>
              </w:rPr>
              <w:t>、磋商文件售价 300元</w:t>
            </w:r>
            <w:r>
              <w:rPr>
                <w:rFonts w:ascii="宋体" w:hAnsi="宋体"/>
                <w:color w:val="auto"/>
                <w:sz w:val="24"/>
                <w:highlight w:val="none"/>
              </w:rPr>
              <w:t>/</w:t>
            </w:r>
            <w:r>
              <w:rPr>
                <w:rFonts w:hint="eastAsia" w:ascii="宋体" w:hAnsi="宋体"/>
                <w:color w:val="auto"/>
                <w:sz w:val="24"/>
                <w:highlight w:val="none"/>
              </w:rPr>
              <w:t>份，磋商会议现场缴纳，售后不退。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28</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color w:val="auto"/>
                <w:sz w:val="24"/>
                <w:highlight w:val="none"/>
              </w:rPr>
            </w:pPr>
            <w:r>
              <w:rPr>
                <w:rFonts w:hint="eastAsia" w:ascii="宋体" w:hAnsi="宋体"/>
                <w:color w:val="auto"/>
                <w:sz w:val="24"/>
                <w:highlight w:val="none"/>
              </w:rPr>
              <w:t>知识产权</w:t>
            </w:r>
          </w:p>
        </w:tc>
        <w:tc>
          <w:tcPr>
            <w:tcW w:w="744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供应商须保证采购人在使用该货物或其任何一部分时不受到第三方关于侵犯专利权、商标权或工业编制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29</w:t>
            </w:r>
          </w:p>
        </w:tc>
        <w:tc>
          <w:tcPr>
            <w:tcW w:w="958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color w:val="auto"/>
                <w:sz w:val="24"/>
                <w:highlight w:val="none"/>
              </w:rPr>
            </w:pPr>
            <w:r>
              <w:rPr>
                <w:rFonts w:hint="eastAsia" w:ascii="宋体" w:hAnsi="宋体"/>
                <w:color w:val="auto"/>
                <w:sz w:val="24"/>
                <w:highlight w:val="none"/>
              </w:rPr>
              <w:t>在任何磋商环节中，需竞争性磋商小组就某项定性的评审结论做出表决的，由竞争性磋商小组全体成员按照少数服从多数的原则，以记名投票方式表决。</w:t>
            </w:r>
          </w:p>
        </w:tc>
      </w:tr>
    </w:tbl>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供应商须知正文部分</w:t>
      </w:r>
    </w:p>
    <w:p>
      <w:pPr>
        <w:spacing w:line="440" w:lineRule="exact"/>
        <w:rPr>
          <w:rFonts w:ascii="宋体"/>
          <w:b/>
          <w:color w:val="auto"/>
          <w:sz w:val="24"/>
          <w:highlight w:val="none"/>
        </w:rPr>
      </w:pPr>
      <w:bookmarkStart w:id="4" w:name="_Toc312072227"/>
      <w:bookmarkStart w:id="5" w:name="_Toc269310919"/>
      <w:bookmarkStart w:id="6" w:name="_Toc152042306"/>
      <w:bookmarkStart w:id="7" w:name="_Toc144974498"/>
      <w:bookmarkStart w:id="8" w:name="_Toc152045530"/>
      <w:r>
        <w:rPr>
          <w:rFonts w:ascii="宋体" w:hAnsi="宋体"/>
          <w:b/>
          <w:color w:val="auto"/>
          <w:sz w:val="24"/>
          <w:highlight w:val="none"/>
        </w:rPr>
        <w:t xml:space="preserve">1. </w:t>
      </w:r>
      <w:r>
        <w:rPr>
          <w:rFonts w:hint="eastAsia" w:ascii="宋体" w:hAnsi="宋体"/>
          <w:b/>
          <w:color w:val="auto"/>
          <w:sz w:val="24"/>
          <w:highlight w:val="none"/>
        </w:rPr>
        <w:t>总则</w:t>
      </w:r>
      <w:bookmarkEnd w:id="4"/>
      <w:bookmarkEnd w:id="5"/>
    </w:p>
    <w:p>
      <w:pPr>
        <w:spacing w:line="440" w:lineRule="exact"/>
        <w:rPr>
          <w:rFonts w:ascii="宋体"/>
          <w:b/>
          <w:color w:val="auto"/>
          <w:sz w:val="24"/>
          <w:highlight w:val="none"/>
        </w:rPr>
      </w:pPr>
      <w:bookmarkStart w:id="9" w:name="_Toc312072228"/>
      <w:bookmarkStart w:id="10" w:name="_Toc269310920"/>
      <w:r>
        <w:rPr>
          <w:rFonts w:ascii="宋体" w:hAnsi="宋体"/>
          <w:b/>
          <w:color w:val="auto"/>
          <w:sz w:val="24"/>
          <w:highlight w:val="none"/>
        </w:rPr>
        <w:t xml:space="preserve">1.1 </w:t>
      </w:r>
      <w:r>
        <w:rPr>
          <w:rFonts w:hint="eastAsia" w:ascii="宋体" w:hAnsi="宋体"/>
          <w:b/>
          <w:color w:val="auto"/>
          <w:sz w:val="24"/>
          <w:highlight w:val="none"/>
        </w:rPr>
        <w:t>项目概况</w:t>
      </w:r>
      <w:bookmarkEnd w:id="6"/>
      <w:bookmarkEnd w:id="7"/>
      <w:bookmarkEnd w:id="8"/>
      <w:bookmarkEnd w:id="9"/>
      <w:bookmarkEnd w:id="10"/>
    </w:p>
    <w:p>
      <w:pPr>
        <w:spacing w:line="440" w:lineRule="exact"/>
        <w:ind w:firstLine="480" w:firstLineChars="200"/>
        <w:rPr>
          <w:rFonts w:ascii="宋体"/>
          <w:color w:val="auto"/>
          <w:sz w:val="24"/>
          <w:highlight w:val="none"/>
        </w:rPr>
      </w:pPr>
      <w:r>
        <w:rPr>
          <w:rFonts w:ascii="宋体" w:hAnsi="宋体"/>
          <w:color w:val="auto"/>
          <w:sz w:val="24"/>
          <w:highlight w:val="none"/>
        </w:rPr>
        <w:t>1.1.1</w:t>
      </w:r>
      <w:r>
        <w:rPr>
          <w:rFonts w:hint="eastAsia" w:ascii="宋体" w:hAnsi="宋体"/>
          <w:color w:val="auto"/>
          <w:sz w:val="24"/>
          <w:highlight w:val="none"/>
        </w:rPr>
        <w:t>根据《中华人民共和国政府采购法》、《中华人民共和国政府采购法实施条例》等有关法律、法规规定，本项目已具备采购条件，现采用竞争性磋商采购方式对该项目进行采购；</w:t>
      </w:r>
    </w:p>
    <w:p>
      <w:pPr>
        <w:spacing w:line="440" w:lineRule="exact"/>
        <w:ind w:firstLine="480" w:firstLineChars="200"/>
        <w:rPr>
          <w:rFonts w:asci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本项目采购人：见供应商须知前附表；</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本项目采购代理机构：见供应商须知前附表；</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本项目名称、项目编号：见供应商须知前附表；</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本项目采购内容：见供应商须知前附表。</w:t>
      </w:r>
    </w:p>
    <w:p>
      <w:pPr>
        <w:spacing w:line="440" w:lineRule="exact"/>
        <w:rPr>
          <w:rFonts w:ascii="宋体" w:hAnsi="宋体"/>
          <w:b/>
          <w:bCs/>
          <w:color w:val="auto"/>
          <w:sz w:val="24"/>
          <w:highlight w:val="none"/>
        </w:rPr>
      </w:pPr>
      <w:bookmarkStart w:id="11" w:name="_Toc144974499"/>
      <w:bookmarkStart w:id="12" w:name="_Toc152042307"/>
      <w:bookmarkStart w:id="13" w:name="_Toc269310921"/>
      <w:bookmarkStart w:id="14" w:name="_Toc312072229"/>
      <w:bookmarkStart w:id="15" w:name="_Toc152045531"/>
      <w:r>
        <w:rPr>
          <w:rFonts w:ascii="宋体" w:hAnsi="宋体"/>
          <w:b/>
          <w:bCs/>
          <w:color w:val="auto"/>
          <w:sz w:val="24"/>
          <w:highlight w:val="none"/>
        </w:rPr>
        <w:t>1.2</w:t>
      </w:r>
      <w:r>
        <w:rPr>
          <w:rFonts w:hint="eastAsia" w:ascii="宋体" w:hAnsi="宋体"/>
          <w:b/>
          <w:bCs/>
          <w:color w:val="auto"/>
          <w:sz w:val="24"/>
          <w:highlight w:val="none"/>
        </w:rPr>
        <w:t>采购方式</w:t>
      </w:r>
      <w:bookmarkEnd w:id="11"/>
      <w:bookmarkEnd w:id="12"/>
      <w:bookmarkEnd w:id="13"/>
      <w:bookmarkEnd w:id="14"/>
      <w:bookmarkEnd w:id="15"/>
      <w:r>
        <w:rPr>
          <w:rFonts w:hint="eastAsia" w:ascii="宋体" w:hAnsi="宋体"/>
          <w:b/>
          <w:bCs/>
          <w:color w:val="auto"/>
          <w:sz w:val="24"/>
          <w:highlight w:val="none"/>
        </w:rPr>
        <w:t>、采购预算</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1.2.1</w:t>
      </w:r>
      <w:r>
        <w:rPr>
          <w:rFonts w:hint="eastAsia" w:ascii="宋体" w:hAnsi="宋体"/>
          <w:color w:val="auto"/>
          <w:sz w:val="24"/>
          <w:highlight w:val="none"/>
        </w:rPr>
        <w:t>本项目采购方式见供应商须知前附表；</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1.2.2</w:t>
      </w:r>
      <w:r>
        <w:rPr>
          <w:rFonts w:hint="eastAsia" w:ascii="宋体" w:hAnsi="宋体"/>
          <w:color w:val="auto"/>
          <w:sz w:val="24"/>
          <w:highlight w:val="none"/>
        </w:rPr>
        <w:t>本项目采购预算见供应商须知前附表。</w:t>
      </w:r>
    </w:p>
    <w:p>
      <w:pPr>
        <w:spacing w:line="440" w:lineRule="exact"/>
        <w:rPr>
          <w:rFonts w:ascii="宋体" w:hAnsi="宋体"/>
          <w:b/>
          <w:bCs/>
          <w:color w:val="auto"/>
          <w:sz w:val="24"/>
          <w:highlight w:val="none"/>
        </w:rPr>
      </w:pPr>
      <w:bookmarkStart w:id="16" w:name="_Toc144974500"/>
      <w:bookmarkStart w:id="17" w:name="_Toc312072230"/>
      <w:bookmarkStart w:id="18" w:name="_Toc152042308"/>
      <w:bookmarkStart w:id="19" w:name="_Toc269310922"/>
      <w:bookmarkStart w:id="20" w:name="_Toc152045532"/>
      <w:r>
        <w:rPr>
          <w:rFonts w:ascii="宋体" w:hAnsi="宋体"/>
          <w:b/>
          <w:bCs/>
          <w:color w:val="auto"/>
          <w:sz w:val="24"/>
          <w:highlight w:val="none"/>
        </w:rPr>
        <w:t xml:space="preserve">1.3 </w:t>
      </w:r>
      <w:r>
        <w:rPr>
          <w:rFonts w:hint="eastAsia" w:ascii="宋体" w:hAnsi="宋体"/>
          <w:b/>
          <w:bCs/>
          <w:color w:val="auto"/>
          <w:sz w:val="24"/>
          <w:highlight w:val="none"/>
        </w:rPr>
        <w:t>服务周期、</w:t>
      </w:r>
      <w:bookmarkEnd w:id="16"/>
      <w:bookmarkEnd w:id="17"/>
      <w:bookmarkEnd w:id="18"/>
      <w:bookmarkEnd w:id="19"/>
      <w:bookmarkEnd w:id="20"/>
      <w:r>
        <w:rPr>
          <w:rFonts w:hint="eastAsia" w:ascii="宋体" w:hAnsi="宋体"/>
          <w:b/>
          <w:bCs/>
          <w:color w:val="auto"/>
          <w:sz w:val="24"/>
          <w:highlight w:val="none"/>
        </w:rPr>
        <w:t>质量要求</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1.3.</w:t>
      </w:r>
      <w:r>
        <w:rPr>
          <w:rFonts w:hint="eastAsia" w:ascii="宋体" w:hAnsi="宋体"/>
          <w:color w:val="auto"/>
          <w:sz w:val="24"/>
          <w:highlight w:val="none"/>
        </w:rPr>
        <w:t>1本项目服务周期见供应商须知前附表；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1.3.2本项目质量要求见供应商须知前附表。</w:t>
      </w:r>
    </w:p>
    <w:p>
      <w:pPr>
        <w:spacing w:line="440" w:lineRule="exact"/>
        <w:rPr>
          <w:rFonts w:ascii="宋体" w:hAnsi="宋体"/>
          <w:b/>
          <w:bCs/>
          <w:color w:val="auto"/>
          <w:sz w:val="24"/>
          <w:highlight w:val="none"/>
        </w:rPr>
      </w:pPr>
      <w:bookmarkStart w:id="21" w:name="_Toc312072231"/>
      <w:bookmarkStart w:id="22" w:name="_Toc269310923"/>
      <w:r>
        <w:rPr>
          <w:rFonts w:ascii="宋体" w:hAnsi="宋体"/>
          <w:b/>
          <w:bCs/>
          <w:color w:val="auto"/>
          <w:sz w:val="24"/>
          <w:highlight w:val="none"/>
        </w:rPr>
        <w:t>1.4</w:t>
      </w:r>
      <w:r>
        <w:rPr>
          <w:rFonts w:hint="eastAsia" w:ascii="宋体" w:hAnsi="宋体"/>
          <w:b/>
          <w:bCs/>
          <w:color w:val="auto"/>
          <w:sz w:val="24"/>
          <w:highlight w:val="none"/>
        </w:rPr>
        <w:t>供应商资格要求</w:t>
      </w:r>
      <w:bookmarkEnd w:id="21"/>
      <w:bookmarkEnd w:id="22"/>
    </w:p>
    <w:p>
      <w:pPr>
        <w:spacing w:line="440" w:lineRule="exact"/>
        <w:ind w:firstLine="480" w:firstLineChars="200"/>
        <w:rPr>
          <w:rFonts w:ascii="宋体" w:hAnsi="宋体"/>
          <w:color w:val="auto"/>
          <w:sz w:val="24"/>
          <w:highlight w:val="none"/>
        </w:rPr>
      </w:pPr>
      <w:r>
        <w:rPr>
          <w:rFonts w:ascii="宋体" w:hAnsi="宋体"/>
          <w:color w:val="auto"/>
          <w:sz w:val="24"/>
          <w:highlight w:val="none"/>
        </w:rPr>
        <w:t>1.4.1</w:t>
      </w:r>
      <w:r>
        <w:rPr>
          <w:rFonts w:hint="eastAsia" w:ascii="宋体" w:hAnsi="宋体"/>
          <w:color w:val="auto"/>
          <w:sz w:val="24"/>
          <w:highlight w:val="none"/>
        </w:rPr>
        <w:t>具体详见供应商须知前附表。</w:t>
      </w:r>
    </w:p>
    <w:p>
      <w:pPr>
        <w:spacing w:line="440" w:lineRule="exact"/>
        <w:rPr>
          <w:rFonts w:ascii="宋体"/>
          <w:b/>
          <w:color w:val="auto"/>
          <w:sz w:val="24"/>
          <w:highlight w:val="none"/>
        </w:rPr>
      </w:pPr>
      <w:bookmarkStart w:id="23" w:name="_Toc144974503"/>
      <w:bookmarkStart w:id="24" w:name="_Toc152045535"/>
      <w:bookmarkStart w:id="25" w:name="_Toc312072232"/>
      <w:bookmarkStart w:id="26" w:name="_Toc152042311"/>
      <w:bookmarkStart w:id="27" w:name="_Toc269310924"/>
      <w:r>
        <w:rPr>
          <w:rFonts w:ascii="宋体" w:hAnsi="宋体"/>
          <w:b/>
          <w:color w:val="auto"/>
          <w:sz w:val="24"/>
          <w:highlight w:val="none"/>
        </w:rPr>
        <w:t xml:space="preserve">1.5 </w:t>
      </w:r>
      <w:r>
        <w:rPr>
          <w:rFonts w:hint="eastAsia" w:ascii="宋体" w:hAnsi="宋体"/>
          <w:b/>
          <w:color w:val="auto"/>
          <w:sz w:val="24"/>
          <w:highlight w:val="none"/>
        </w:rPr>
        <w:t>费用承担</w:t>
      </w:r>
      <w:bookmarkEnd w:id="23"/>
      <w:bookmarkEnd w:id="24"/>
      <w:bookmarkEnd w:id="25"/>
      <w:bookmarkEnd w:id="26"/>
      <w:bookmarkEnd w:id="27"/>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1.5.1供应商准备和参加投标活动发生的费用自理。</w:t>
      </w:r>
    </w:p>
    <w:p>
      <w:pPr>
        <w:spacing w:line="440" w:lineRule="exact"/>
        <w:ind w:firstLine="480" w:firstLineChars="200"/>
        <w:rPr>
          <w:rFonts w:ascii="宋体" w:hAnsi="宋体"/>
          <w:color w:val="auto"/>
          <w:sz w:val="24"/>
          <w:highlight w:val="none"/>
        </w:rPr>
      </w:pPr>
      <w:bookmarkStart w:id="28" w:name="_Toc152042312"/>
      <w:bookmarkStart w:id="29" w:name="_Toc144974504"/>
      <w:bookmarkStart w:id="30" w:name="_Toc152045536"/>
      <w:r>
        <w:rPr>
          <w:rFonts w:hint="eastAsia" w:ascii="宋体" w:hAnsi="宋体"/>
          <w:color w:val="auto"/>
          <w:sz w:val="24"/>
          <w:highlight w:val="none"/>
        </w:rPr>
        <w:t>1.5.2采购代理费：</w:t>
      </w:r>
      <w:bookmarkStart w:id="31" w:name="_Toc269310925"/>
      <w:bookmarkStart w:id="32" w:name="_Toc312072233"/>
      <w:r>
        <w:rPr>
          <w:rFonts w:hint="eastAsia" w:ascii="宋体" w:hAnsi="宋体"/>
          <w:color w:val="auto"/>
          <w:sz w:val="24"/>
          <w:highlight w:val="none"/>
        </w:rPr>
        <w:t>采购代理费：</w:t>
      </w:r>
      <w:r>
        <w:rPr>
          <w:rFonts w:hint="eastAsia" w:ascii="宋体" w:hAnsi="宋体"/>
          <w:color w:val="auto"/>
          <w:sz w:val="24"/>
          <w:highlight w:val="none"/>
          <w:lang w:val="en-US" w:eastAsia="zh-CN"/>
        </w:rPr>
        <w:t>1500</w:t>
      </w:r>
      <w:r>
        <w:rPr>
          <w:rFonts w:hint="eastAsia" w:ascii="宋体" w:hAnsi="宋体"/>
          <w:color w:val="auto"/>
          <w:sz w:val="24"/>
          <w:highlight w:val="none"/>
        </w:rPr>
        <w:t>元。成交供应商应在接到成交通知书的同时向采购代理机构缴纳采购代理费。</w:t>
      </w:r>
    </w:p>
    <w:p>
      <w:pPr>
        <w:spacing w:line="440" w:lineRule="exact"/>
        <w:rPr>
          <w:rFonts w:ascii="宋体"/>
          <w:b/>
          <w:color w:val="auto"/>
          <w:sz w:val="24"/>
          <w:highlight w:val="none"/>
        </w:rPr>
      </w:pPr>
      <w:r>
        <w:rPr>
          <w:rFonts w:ascii="宋体" w:hAnsi="宋体"/>
          <w:b/>
          <w:color w:val="auto"/>
          <w:sz w:val="24"/>
          <w:highlight w:val="none"/>
        </w:rPr>
        <w:t xml:space="preserve">1.6 </w:t>
      </w:r>
      <w:r>
        <w:rPr>
          <w:rFonts w:hint="eastAsia" w:ascii="宋体" w:hAnsi="宋体"/>
          <w:b/>
          <w:color w:val="auto"/>
          <w:sz w:val="24"/>
          <w:highlight w:val="none"/>
        </w:rPr>
        <w:t>保密</w:t>
      </w:r>
      <w:bookmarkEnd w:id="28"/>
      <w:bookmarkEnd w:id="29"/>
      <w:bookmarkEnd w:id="30"/>
      <w:bookmarkEnd w:id="31"/>
      <w:bookmarkEnd w:id="32"/>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参与采购活动的各方应对磋商文件和响应文件中的商业和技术等秘密保密，违者应对由此造成的后果承担法律责任。</w:t>
      </w:r>
    </w:p>
    <w:p>
      <w:pPr>
        <w:spacing w:line="440" w:lineRule="exact"/>
        <w:rPr>
          <w:rFonts w:ascii="宋体"/>
          <w:b/>
          <w:color w:val="auto"/>
          <w:sz w:val="24"/>
          <w:highlight w:val="none"/>
        </w:rPr>
      </w:pPr>
      <w:bookmarkStart w:id="33" w:name="_Toc144974505"/>
      <w:bookmarkStart w:id="34" w:name="_Toc152042313"/>
      <w:bookmarkStart w:id="35" w:name="_Toc269310926"/>
      <w:bookmarkStart w:id="36" w:name="_Toc312072234"/>
      <w:bookmarkStart w:id="37" w:name="_Toc152045537"/>
      <w:r>
        <w:rPr>
          <w:rFonts w:ascii="宋体" w:hAnsi="宋体"/>
          <w:b/>
          <w:color w:val="auto"/>
          <w:sz w:val="24"/>
          <w:highlight w:val="none"/>
        </w:rPr>
        <w:t xml:space="preserve">1.7 </w:t>
      </w:r>
      <w:r>
        <w:rPr>
          <w:rFonts w:hint="eastAsia" w:ascii="宋体" w:hAnsi="宋体"/>
          <w:b/>
          <w:color w:val="auto"/>
          <w:sz w:val="24"/>
          <w:highlight w:val="none"/>
        </w:rPr>
        <w:t>语言</w:t>
      </w:r>
      <w:bookmarkEnd w:id="33"/>
      <w:r>
        <w:rPr>
          <w:rFonts w:hint="eastAsia" w:ascii="宋体" w:hAnsi="宋体"/>
          <w:b/>
          <w:color w:val="auto"/>
          <w:sz w:val="24"/>
          <w:highlight w:val="none"/>
        </w:rPr>
        <w:t>文字</w:t>
      </w:r>
      <w:bookmarkEnd w:id="34"/>
      <w:bookmarkEnd w:id="35"/>
      <w:bookmarkEnd w:id="36"/>
      <w:bookmarkEnd w:id="37"/>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除专用术语外，与采购投标有关的语言均使用简体中文。必要时专用术语应附有简体中文注释。</w:t>
      </w:r>
    </w:p>
    <w:p>
      <w:pPr>
        <w:spacing w:line="440" w:lineRule="exact"/>
        <w:rPr>
          <w:rFonts w:ascii="宋体"/>
          <w:b/>
          <w:color w:val="auto"/>
          <w:sz w:val="24"/>
          <w:highlight w:val="none"/>
        </w:rPr>
      </w:pPr>
      <w:bookmarkStart w:id="38" w:name="_Toc144974506"/>
      <w:bookmarkStart w:id="39" w:name="_Toc269310927"/>
      <w:bookmarkStart w:id="40" w:name="_Toc312072235"/>
      <w:bookmarkStart w:id="41" w:name="_Toc152042314"/>
      <w:bookmarkStart w:id="42" w:name="_Toc152045538"/>
      <w:r>
        <w:rPr>
          <w:rFonts w:ascii="宋体" w:hAnsi="宋体"/>
          <w:b/>
          <w:color w:val="auto"/>
          <w:sz w:val="24"/>
          <w:highlight w:val="none"/>
        </w:rPr>
        <w:t>1.8</w:t>
      </w:r>
      <w:r>
        <w:rPr>
          <w:rFonts w:hint="eastAsia" w:ascii="宋体" w:hAnsi="宋体"/>
          <w:b/>
          <w:color w:val="auto"/>
          <w:sz w:val="24"/>
          <w:highlight w:val="none"/>
        </w:rPr>
        <w:t>计量单位</w:t>
      </w:r>
      <w:bookmarkEnd w:id="38"/>
      <w:bookmarkEnd w:id="39"/>
      <w:bookmarkEnd w:id="40"/>
      <w:bookmarkEnd w:id="41"/>
      <w:bookmarkEnd w:id="42"/>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所有计量均采用中华人民共和国法定计量单位。</w:t>
      </w:r>
    </w:p>
    <w:p>
      <w:pPr>
        <w:spacing w:line="440" w:lineRule="exact"/>
        <w:rPr>
          <w:rFonts w:ascii="宋体"/>
          <w:b/>
          <w:color w:val="auto"/>
          <w:sz w:val="24"/>
          <w:highlight w:val="none"/>
        </w:rPr>
      </w:pPr>
      <w:bookmarkStart w:id="43" w:name="_Toc144974507"/>
      <w:bookmarkStart w:id="44" w:name="_Toc269310928"/>
      <w:bookmarkStart w:id="45" w:name="_Toc312072236"/>
      <w:bookmarkStart w:id="46" w:name="_Toc152045539"/>
      <w:bookmarkStart w:id="47" w:name="_Toc152042315"/>
      <w:r>
        <w:rPr>
          <w:rFonts w:ascii="宋体" w:hAnsi="宋体"/>
          <w:b/>
          <w:color w:val="auto"/>
          <w:sz w:val="24"/>
          <w:highlight w:val="none"/>
        </w:rPr>
        <w:t xml:space="preserve">1.9 </w:t>
      </w:r>
      <w:r>
        <w:rPr>
          <w:rFonts w:hint="eastAsia" w:ascii="宋体" w:hAnsi="宋体"/>
          <w:b/>
          <w:color w:val="auto"/>
          <w:sz w:val="24"/>
          <w:highlight w:val="none"/>
        </w:rPr>
        <w:t>踏勘现场</w:t>
      </w:r>
      <w:bookmarkEnd w:id="43"/>
      <w:bookmarkEnd w:id="44"/>
      <w:bookmarkEnd w:id="45"/>
      <w:bookmarkEnd w:id="46"/>
      <w:bookmarkEnd w:id="47"/>
    </w:p>
    <w:p>
      <w:pPr>
        <w:spacing w:line="44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.9.1不统一组织踏勘现场，供应商可根据需要自行到项目现场进行踏勘。</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1.9.2 供应商踏勘现场发生的费用自理。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1.9.3 采购人在踏勘现场中介绍的工程场地和相关的周边环境情况，供应商在编制响应文件时参考，采购人不对供应商据此作出的判断和决策负责。</w:t>
      </w:r>
    </w:p>
    <w:p>
      <w:pPr>
        <w:spacing w:line="440" w:lineRule="exact"/>
        <w:rPr>
          <w:rFonts w:ascii="宋体"/>
          <w:b/>
          <w:color w:val="auto"/>
          <w:sz w:val="24"/>
          <w:highlight w:val="none"/>
        </w:rPr>
      </w:pPr>
      <w:bookmarkStart w:id="48" w:name="_Toc312072239"/>
      <w:r>
        <w:rPr>
          <w:rFonts w:ascii="宋体" w:hAnsi="宋体"/>
          <w:b/>
          <w:color w:val="auto"/>
          <w:sz w:val="24"/>
          <w:highlight w:val="none"/>
        </w:rPr>
        <w:t xml:space="preserve">1.10 </w:t>
      </w:r>
      <w:r>
        <w:rPr>
          <w:rFonts w:hint="eastAsia" w:ascii="宋体" w:hAnsi="宋体"/>
          <w:b/>
          <w:color w:val="auto"/>
          <w:sz w:val="24"/>
          <w:highlight w:val="none"/>
        </w:rPr>
        <w:t>偏离</w:t>
      </w:r>
      <w:bookmarkEnd w:id="48"/>
    </w:p>
    <w:p>
      <w:pPr>
        <w:spacing w:line="440" w:lineRule="exact"/>
        <w:rPr>
          <w:rFonts w:ascii="宋体" w:hAnsi="宋体"/>
          <w:color w:val="auto"/>
          <w:sz w:val="24"/>
          <w:highlight w:val="none"/>
        </w:rPr>
      </w:pPr>
      <w:bookmarkStart w:id="49" w:name="_Toc312072240"/>
      <w:bookmarkStart w:id="50" w:name="_Toc144974510"/>
      <w:bookmarkStart w:id="51" w:name="_Toc152042318"/>
      <w:bookmarkStart w:id="52" w:name="_Toc152045542"/>
      <w:bookmarkStart w:id="53" w:name="_Toc269310930"/>
      <w:r>
        <w:rPr>
          <w:rFonts w:hint="eastAsia" w:ascii="宋体" w:hAnsi="宋体"/>
          <w:color w:val="auto"/>
          <w:sz w:val="24"/>
          <w:highlight w:val="none"/>
        </w:rPr>
        <w:t>不允许负偏离</w:t>
      </w:r>
    </w:p>
    <w:p>
      <w:pPr>
        <w:spacing w:line="440" w:lineRule="exact"/>
        <w:rPr>
          <w:rFonts w:ascii="宋体"/>
          <w:b/>
          <w:color w:val="auto"/>
          <w:sz w:val="24"/>
          <w:highlight w:val="none"/>
        </w:rPr>
      </w:pPr>
      <w:r>
        <w:rPr>
          <w:rFonts w:ascii="宋体" w:hAnsi="宋体"/>
          <w:b/>
          <w:color w:val="auto"/>
          <w:sz w:val="24"/>
          <w:highlight w:val="none"/>
        </w:rPr>
        <w:t xml:space="preserve">2. </w:t>
      </w:r>
      <w:r>
        <w:rPr>
          <w:rFonts w:hint="eastAsia" w:ascii="宋体" w:hAnsi="宋体"/>
          <w:b/>
          <w:color w:val="auto"/>
          <w:sz w:val="24"/>
          <w:highlight w:val="none"/>
        </w:rPr>
        <w:t>磋商文件</w:t>
      </w:r>
      <w:bookmarkEnd w:id="49"/>
      <w:bookmarkEnd w:id="50"/>
      <w:bookmarkEnd w:id="51"/>
      <w:bookmarkEnd w:id="52"/>
      <w:bookmarkEnd w:id="53"/>
    </w:p>
    <w:p>
      <w:pPr>
        <w:spacing w:line="440" w:lineRule="exact"/>
        <w:rPr>
          <w:rFonts w:ascii="宋体"/>
          <w:b/>
          <w:color w:val="auto"/>
          <w:sz w:val="24"/>
          <w:highlight w:val="none"/>
        </w:rPr>
      </w:pPr>
      <w:bookmarkStart w:id="54" w:name="_Toc144974511"/>
      <w:bookmarkStart w:id="55" w:name="_Toc312072241"/>
      <w:bookmarkStart w:id="56" w:name="_Toc152042319"/>
      <w:bookmarkStart w:id="57" w:name="_Toc269310931"/>
      <w:bookmarkStart w:id="58" w:name="_Toc152045543"/>
      <w:r>
        <w:rPr>
          <w:rFonts w:ascii="宋体" w:hAnsi="宋体"/>
          <w:b/>
          <w:color w:val="auto"/>
          <w:sz w:val="24"/>
          <w:highlight w:val="none"/>
        </w:rPr>
        <w:t xml:space="preserve">2.1 </w:t>
      </w:r>
      <w:r>
        <w:rPr>
          <w:rFonts w:hint="eastAsia" w:ascii="宋体" w:hAnsi="宋体"/>
          <w:b/>
          <w:color w:val="auto"/>
          <w:sz w:val="24"/>
          <w:highlight w:val="none"/>
        </w:rPr>
        <w:t>磋商文件的组成</w:t>
      </w:r>
      <w:bookmarkEnd w:id="54"/>
      <w:bookmarkEnd w:id="55"/>
      <w:bookmarkEnd w:id="56"/>
      <w:bookmarkEnd w:id="57"/>
      <w:bookmarkEnd w:id="58"/>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本次采购项目的磋商文件包含以下部分：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（1）竞争性磋商公告</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（2）供应商须知</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（3）技术标准和要求</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（4）合同格式</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（5）响应文件格式</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（6）评分标准</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获取磋商文件后，应仔细检查磋商文件的所有内容，如有残缺等问题应在获得磋商文件当日向采购人或采购代理机构提出，否则，由此引起的损失由供应商自行承担。供应商同时应认真审阅磋商文件中所有的事项、格式、条款和规范要求等，若供应商的响应文件没有按磋商文件要求提交全部资料，或响应文件没有对磋商文件做出实质性响应，其风险由供应商自行承担，并根据有关条款，该响应文件有可能被拒绝。</w:t>
      </w:r>
    </w:p>
    <w:p>
      <w:pPr>
        <w:spacing w:line="440" w:lineRule="exact"/>
        <w:ind w:firstLine="480" w:firstLineChars="200"/>
        <w:rPr>
          <w:rFonts w:ascii="宋体" w:hAnsi="宋体"/>
          <w:color w:val="auto"/>
          <w:sz w:val="24"/>
          <w:szCs w:val="20"/>
          <w:highlight w:val="none"/>
        </w:rPr>
      </w:pPr>
      <w:r>
        <w:rPr>
          <w:rFonts w:hint="eastAsia" w:ascii="宋体" w:hAnsi="宋体"/>
          <w:color w:val="auto"/>
          <w:sz w:val="24"/>
          <w:highlight w:val="none"/>
        </w:rPr>
        <w:t>供应商对磋商文件提出的澄清要求，应以书面形式通知到采购代理机构。招标采购单位对已发出的磋商文件进行必要的澄清时或者修改的，将在磋商文件要求提交响应文件截止时间5日前，在中国采购与招标网发布媒体上发布更正公告，该澄清或者修改的内容作为磋商文件的组成部分，对所有供应商具有约束力。</w:t>
      </w:r>
    </w:p>
    <w:p>
      <w:pPr>
        <w:spacing w:line="440" w:lineRule="exact"/>
        <w:rPr>
          <w:rFonts w:ascii="宋体"/>
          <w:b/>
          <w:color w:val="auto"/>
          <w:sz w:val="24"/>
          <w:highlight w:val="none"/>
        </w:rPr>
      </w:pPr>
      <w:r>
        <w:rPr>
          <w:rFonts w:ascii="宋体" w:hAnsi="宋体"/>
          <w:b/>
          <w:color w:val="auto"/>
          <w:sz w:val="24"/>
          <w:highlight w:val="none"/>
        </w:rPr>
        <w:t xml:space="preserve">3. </w:t>
      </w:r>
      <w:r>
        <w:rPr>
          <w:rFonts w:hint="eastAsia" w:ascii="宋体" w:hAnsi="宋体"/>
          <w:b/>
          <w:color w:val="auto"/>
          <w:sz w:val="24"/>
          <w:highlight w:val="none"/>
        </w:rPr>
        <w:t>响应文件</w:t>
      </w:r>
    </w:p>
    <w:p>
      <w:pPr>
        <w:spacing w:line="440" w:lineRule="exact"/>
        <w:rPr>
          <w:rFonts w:ascii="宋体"/>
          <w:b/>
          <w:color w:val="auto"/>
          <w:sz w:val="24"/>
          <w:highlight w:val="none"/>
        </w:rPr>
      </w:pPr>
      <w:bookmarkStart w:id="59" w:name="_Toc144974515"/>
      <w:bookmarkStart w:id="60" w:name="_Toc232995488"/>
      <w:bookmarkStart w:id="61" w:name="_Toc312072245"/>
      <w:bookmarkStart w:id="62" w:name="_Toc269310935"/>
      <w:bookmarkStart w:id="63" w:name="_Toc152042323"/>
      <w:bookmarkStart w:id="64" w:name="_Toc152045547"/>
      <w:r>
        <w:rPr>
          <w:rFonts w:ascii="宋体" w:hAnsi="宋体"/>
          <w:b/>
          <w:color w:val="auto"/>
          <w:sz w:val="24"/>
          <w:highlight w:val="none"/>
        </w:rPr>
        <w:t xml:space="preserve">3.1 </w:t>
      </w:r>
      <w:r>
        <w:rPr>
          <w:rFonts w:hint="eastAsia" w:ascii="宋体" w:hAnsi="宋体"/>
          <w:b/>
          <w:color w:val="auto"/>
          <w:sz w:val="24"/>
          <w:highlight w:val="none"/>
        </w:rPr>
        <w:t>响应文件的组成</w:t>
      </w:r>
      <w:bookmarkEnd w:id="59"/>
      <w:bookmarkEnd w:id="60"/>
      <w:bookmarkEnd w:id="61"/>
      <w:bookmarkEnd w:id="62"/>
      <w:bookmarkEnd w:id="63"/>
      <w:bookmarkEnd w:id="64"/>
      <w:bookmarkStart w:id="65" w:name="_Toc232832203"/>
      <w:bookmarkStart w:id="66" w:name="_Toc232832502"/>
    </w:p>
    <w:bookmarkEnd w:id="65"/>
    <w:bookmarkEnd w:id="66"/>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3.1 投标部分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1）法定代表人或委托代理人签署的投标函（附件）。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3.2供应商简介及资质（资格、资质证明文件）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1）有效年检的营业执照等证件复印件（加盖公章）；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 xml:space="preserve">2）法人代表身份证复印件或法定代表人授权委托书原件、委托人身份证复印件（附件）；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3）相关资质、资格证书等复印件（加盖公章）；</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4）企业简介及企业所获荣誉等；</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5）供应商认为需要提交的其他文件。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3.3技术部分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3.3.1</w:t>
      </w:r>
      <w:r>
        <w:rPr>
          <w:rFonts w:hint="eastAsia" w:ascii="宋体" w:hAnsi="宋体" w:eastAsia="宋体" w:cs="宋体"/>
          <w:color w:val="auto"/>
          <w:sz w:val="24"/>
          <w:szCs w:val="20"/>
          <w:highlight w:val="none"/>
        </w:rPr>
        <w:t>技术文件</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 xml:space="preserve">）供应商基本情况表、供应商经营场所简图 </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）服务方案：</w:t>
      </w:r>
    </w:p>
    <w:p>
      <w:pPr>
        <w:pStyle w:val="20"/>
        <w:widowControl/>
        <w:tabs>
          <w:tab w:val="left" w:pos="382"/>
          <w:tab w:val="left" w:pos="720"/>
        </w:tabs>
        <w:spacing w:line="400" w:lineRule="exact"/>
        <w:ind w:left="338" w:leftChars="161" w:firstLine="379" w:firstLineChars="158"/>
        <w:rPr>
          <w:rFonts w:ascii="宋体" w:hAnsi="宋体" w:cs="宋体"/>
          <w:color w:val="auto"/>
          <w:sz w:val="24"/>
          <w:highlight w:val="none"/>
          <w:lang w:val="zh-CN"/>
        </w:rPr>
      </w:pPr>
      <w:r>
        <w:rPr>
          <w:rFonts w:hint="eastAsia" w:ascii="宋体" w:hAnsi="宋体" w:cs="宋体"/>
          <w:color w:val="auto"/>
          <w:sz w:val="24"/>
          <w:highlight w:val="none"/>
          <w:lang w:val="zh-CN"/>
        </w:rPr>
        <w:t>服务总体要求的理解；</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详细服务方案修理范围说明；</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维修及相关服务的工作程序和业务流程；</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维修质量控制体系以及运作说明；</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安全生产制度、公司管理规章制度；</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针对本项目的服务计划和方案；</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 xml:space="preserve"> 服务说明、服务响应等；</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rPr>
      </w:pPr>
      <w:r>
        <w:rPr>
          <w:rFonts w:hint="eastAsia" w:ascii="宋体" w:hAnsi="宋体" w:cs="宋体"/>
          <w:color w:val="auto"/>
          <w:sz w:val="24"/>
          <w:highlight w:val="none"/>
        </w:rPr>
        <w:t>（3）项目从业人员及其技术资格一览表；</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4</w:t>
      </w:r>
      <w:r>
        <w:rPr>
          <w:rFonts w:hint="eastAsia" w:ascii="宋体" w:hAnsi="宋体" w:cs="宋体"/>
          <w:color w:val="auto"/>
          <w:sz w:val="24"/>
          <w:highlight w:val="none"/>
          <w:lang w:val="zh-CN"/>
        </w:rPr>
        <w:t>）提供维修服务所需设施、设备一览表</w:t>
      </w:r>
      <w:r>
        <w:rPr>
          <w:rFonts w:hint="eastAsia" w:ascii="宋体" w:hAnsi="宋体" w:cs="宋体"/>
          <w:color w:val="auto"/>
          <w:sz w:val="24"/>
          <w:highlight w:val="none"/>
        </w:rPr>
        <w:t>；</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rPr>
      </w:pPr>
      <w:r>
        <w:rPr>
          <w:rFonts w:hint="eastAsia" w:ascii="宋体" w:hAnsi="宋体" w:cs="宋体"/>
          <w:color w:val="auto"/>
          <w:sz w:val="24"/>
          <w:highlight w:val="none"/>
        </w:rPr>
        <w:t>（5）技术偏离表；</w:t>
      </w:r>
    </w:p>
    <w:p>
      <w:pPr>
        <w:pStyle w:val="20"/>
        <w:widowControl/>
        <w:tabs>
          <w:tab w:val="left" w:pos="382"/>
          <w:tab w:val="left" w:pos="720"/>
        </w:tabs>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（6）技术服务内容及措施；</w:t>
      </w:r>
    </w:p>
    <w:p>
      <w:pPr>
        <w:pStyle w:val="20"/>
        <w:widowControl/>
        <w:tabs>
          <w:tab w:val="left" w:pos="382"/>
          <w:tab w:val="left" w:pos="720"/>
        </w:tabs>
        <w:spacing w:line="400" w:lineRule="exact"/>
        <w:ind w:left="197" w:leftChars="47" w:hanging="98" w:hangingChars="41"/>
        <w:rPr>
          <w:rFonts w:ascii="宋体" w:hAnsi="宋体" w:cs="宋体"/>
          <w:color w:val="auto"/>
          <w:sz w:val="24"/>
          <w:highlight w:val="none"/>
        </w:rPr>
      </w:pPr>
      <w:r>
        <w:rPr>
          <w:rFonts w:hint="eastAsia" w:ascii="宋体" w:hAnsi="宋体" w:cs="宋体"/>
          <w:color w:val="auto"/>
          <w:sz w:val="24"/>
          <w:highlight w:val="none"/>
        </w:rPr>
        <w:t>（7）具体维修方案说明。</w:t>
      </w:r>
    </w:p>
    <w:p>
      <w:pPr>
        <w:pStyle w:val="20"/>
        <w:widowControl/>
        <w:tabs>
          <w:tab w:val="left" w:pos="382"/>
          <w:tab w:val="left" w:pos="720"/>
        </w:tabs>
        <w:spacing w:line="400" w:lineRule="exact"/>
        <w:ind w:left="0" w:leftChars="0" w:firstLine="0" w:firstLineChars="0"/>
        <w:rPr>
          <w:rFonts w:ascii="宋体" w:eastAsia="Times New Roman" w:cs="宋体"/>
          <w:color w:val="auto"/>
          <w:sz w:val="24"/>
          <w:highlight w:val="none"/>
        </w:rPr>
      </w:pPr>
      <w:r>
        <w:rPr>
          <w:rFonts w:hint="eastAsia" w:ascii="宋体" w:hAnsi="宋体" w:cs="宋体"/>
          <w:color w:val="auto"/>
          <w:sz w:val="24"/>
          <w:highlight w:val="none"/>
        </w:rPr>
        <w:t>（8）供应商认为需要加以说明的其他内容。</w:t>
      </w:r>
    </w:p>
    <w:p>
      <w:pPr>
        <w:pStyle w:val="20"/>
        <w:widowControl/>
        <w:tabs>
          <w:tab w:val="left" w:pos="382"/>
          <w:tab w:val="left" w:pos="720"/>
        </w:tabs>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3.3.2商务文件：</w:t>
      </w:r>
    </w:p>
    <w:p>
      <w:pPr>
        <w:pStyle w:val="20"/>
        <w:widowControl/>
        <w:tabs>
          <w:tab w:val="left" w:pos="382"/>
          <w:tab w:val="left" w:pos="720"/>
        </w:tabs>
        <w:spacing w:line="400" w:lineRule="exact"/>
        <w:ind w:left="199" w:leftChars="47" w:hanging="100" w:firstLineChars="0"/>
        <w:rPr>
          <w:rFonts w:ascii="宋体" w:eastAsia="Times New Roman" w:cs="宋体"/>
          <w:color w:val="auto"/>
          <w:sz w:val="24"/>
          <w:highlight w:val="none"/>
        </w:rPr>
      </w:pPr>
      <w:r>
        <w:rPr>
          <w:rFonts w:hint="eastAsia" w:ascii="宋体" w:hAnsi="宋体" w:cs="宋体"/>
          <w:color w:val="auto"/>
          <w:sz w:val="24"/>
          <w:highlight w:val="none"/>
        </w:rPr>
        <w:t>（1）供应商同类项目经营业绩一览表；</w:t>
      </w:r>
    </w:p>
    <w:p>
      <w:pPr>
        <w:pStyle w:val="20"/>
        <w:widowControl/>
        <w:tabs>
          <w:tab w:val="left" w:pos="382"/>
        </w:tabs>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（2） 供应商年度财务报表，包括资产负债表、损益表；</w:t>
      </w:r>
    </w:p>
    <w:p>
      <w:pPr>
        <w:pStyle w:val="20"/>
        <w:widowControl/>
        <w:tabs>
          <w:tab w:val="left" w:pos="382"/>
        </w:tabs>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（3） 供应商提供的最快服务完成时间；</w:t>
      </w:r>
    </w:p>
    <w:p>
      <w:pPr>
        <w:pStyle w:val="20"/>
        <w:widowControl/>
        <w:tabs>
          <w:tab w:val="left" w:pos="382"/>
        </w:tabs>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（4） 售后服务条款：</w:t>
      </w:r>
    </w:p>
    <w:p>
      <w:pPr>
        <w:pStyle w:val="20"/>
        <w:widowControl/>
        <w:spacing w:line="400" w:lineRule="exact"/>
        <w:ind w:left="199" w:leftChars="47" w:hanging="100" w:firstLineChars="0"/>
        <w:rPr>
          <w:rFonts w:ascii="宋体" w:eastAsia="Times New Roman" w:cs="宋体"/>
          <w:color w:val="auto"/>
          <w:sz w:val="24"/>
          <w:highlight w:val="none"/>
        </w:rPr>
      </w:pPr>
      <w:r>
        <w:rPr>
          <w:rFonts w:hint="eastAsia" w:ascii="宋体" w:hAnsi="宋体" w:cs="宋体"/>
          <w:color w:val="auto"/>
          <w:sz w:val="24"/>
          <w:highlight w:val="none"/>
        </w:rPr>
        <w:t>a.供应商必须提供成交货物齐全的资料（进口货物必须包括中文和英文的使用说明、安装手册、维修手册、专用工具和相应质检报关证明文件）；</w:t>
      </w:r>
    </w:p>
    <w:p>
      <w:pPr>
        <w:pStyle w:val="20"/>
        <w:widowControl/>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b.供应商对所有提供的配件负责；</w:t>
      </w:r>
    </w:p>
    <w:p>
      <w:pPr>
        <w:pStyle w:val="20"/>
        <w:widowControl/>
        <w:spacing w:line="400" w:lineRule="exact"/>
        <w:ind w:left="199" w:leftChars="47" w:hanging="100" w:firstLineChars="0"/>
        <w:rPr>
          <w:rFonts w:ascii="宋体" w:eastAsia="Times New Roman" w:cs="宋体"/>
          <w:color w:val="auto"/>
          <w:sz w:val="24"/>
          <w:highlight w:val="none"/>
        </w:rPr>
      </w:pPr>
      <w:r>
        <w:rPr>
          <w:rFonts w:hint="eastAsia" w:ascii="宋体" w:hAnsi="宋体" w:cs="宋体"/>
          <w:color w:val="auto"/>
          <w:sz w:val="24"/>
          <w:highlight w:val="none"/>
        </w:rPr>
        <w:t>c.供应商应提供及时、迅速、优质的服务，迅速快捷地提供货物的备品备件，并能保证采购人能够及时买到货物所需的备品备件和易损件；</w:t>
      </w:r>
    </w:p>
    <w:p>
      <w:pPr>
        <w:pStyle w:val="21"/>
        <w:widowControl/>
        <w:spacing w:line="400" w:lineRule="exact"/>
        <w:ind w:firstLine="120" w:firstLineChars="50"/>
        <w:rPr>
          <w:rFonts w:hint="default" w:hAnsi="宋体" w:eastAsia="Times New Roman"/>
          <w:color w:val="auto"/>
          <w:highlight w:val="none"/>
        </w:rPr>
      </w:pPr>
      <w:r>
        <w:rPr>
          <w:rFonts w:hAnsi="宋体"/>
          <w:color w:val="auto"/>
          <w:highlight w:val="none"/>
        </w:rPr>
        <w:t>d.供应商应有专职维修人员，定期对车辆进行维护，出现故障及时解决，保证采购人的正常使用。</w:t>
      </w:r>
    </w:p>
    <w:p>
      <w:pPr>
        <w:pStyle w:val="20"/>
        <w:widowControl/>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lang w:val="en-US" w:eastAsia="zh-CN"/>
        </w:rPr>
        <w:t>e</w:t>
      </w:r>
      <w:r>
        <w:rPr>
          <w:rFonts w:hint="eastAsia" w:ascii="宋体" w:hAnsi="宋体" w:cs="宋体"/>
          <w:color w:val="auto"/>
          <w:sz w:val="24"/>
          <w:highlight w:val="none"/>
        </w:rPr>
        <w:t>.车辆出现故障后，响应及排除故障的时间；</w:t>
      </w:r>
    </w:p>
    <w:p>
      <w:pPr>
        <w:pStyle w:val="20"/>
        <w:widowControl/>
        <w:spacing w:line="400" w:lineRule="exact"/>
        <w:ind w:left="199" w:leftChars="47" w:hanging="100" w:firstLineChars="0"/>
        <w:rPr>
          <w:rFonts w:ascii="宋体" w:eastAsia="Times New Roman" w:cs="宋体"/>
          <w:color w:val="auto"/>
          <w:sz w:val="24"/>
          <w:highlight w:val="none"/>
        </w:rPr>
      </w:pPr>
      <w:r>
        <w:rPr>
          <w:rFonts w:hint="eastAsia" w:ascii="宋体" w:hAnsi="宋体" w:cs="宋体"/>
          <w:color w:val="auto"/>
          <w:sz w:val="24"/>
          <w:highlight w:val="none"/>
        </w:rPr>
        <w:t>f.供应商对提供的所有产品，明确质保期限。在质保期内，除人为因素损坏外，全部免费维修。</w:t>
      </w:r>
    </w:p>
    <w:p>
      <w:pPr>
        <w:pStyle w:val="20"/>
        <w:widowControl/>
        <w:spacing w:line="400" w:lineRule="exact"/>
        <w:ind w:left="48" w:leftChars="23" w:firstLine="0" w:firstLineChars="0"/>
        <w:rPr>
          <w:rFonts w:ascii="宋体" w:eastAsia="Times New Roman" w:cs="宋体"/>
          <w:color w:val="auto"/>
          <w:sz w:val="24"/>
          <w:highlight w:val="none"/>
        </w:rPr>
      </w:pPr>
      <w:r>
        <w:rPr>
          <w:rFonts w:hint="eastAsia" w:ascii="宋体" w:hAnsi="宋体" w:cs="宋体"/>
          <w:color w:val="auto"/>
          <w:sz w:val="24"/>
          <w:highlight w:val="none"/>
        </w:rPr>
        <w:t>（5） 优惠条款（注：供应商提供的优惠条件必须在响应文件中明确列出，不包括报价优惠）。</w:t>
      </w:r>
    </w:p>
    <w:p>
      <w:pPr>
        <w:pStyle w:val="20"/>
        <w:widowControl/>
        <w:spacing w:line="400" w:lineRule="exact"/>
        <w:ind w:left="197" w:leftChars="47" w:hanging="98" w:hangingChars="41"/>
        <w:rPr>
          <w:rFonts w:ascii="宋体" w:eastAsia="Times New Roman" w:cs="宋体"/>
          <w:color w:val="auto"/>
          <w:sz w:val="24"/>
          <w:highlight w:val="none"/>
        </w:rPr>
      </w:pPr>
      <w:r>
        <w:rPr>
          <w:rFonts w:hint="eastAsia" w:ascii="宋体" w:hAnsi="宋体" w:cs="宋体"/>
          <w:color w:val="auto"/>
          <w:sz w:val="24"/>
          <w:highlight w:val="none"/>
        </w:rPr>
        <w:t>（6） 供应商认为需要加以说明的其他内容。</w:t>
      </w:r>
    </w:p>
    <w:p>
      <w:pPr>
        <w:spacing w:line="440" w:lineRule="exact"/>
        <w:rPr>
          <w:rFonts w:hint="eastAsia" w:ascii="宋体" w:hAnsi="宋体"/>
          <w:b/>
          <w:color w:val="auto"/>
          <w:sz w:val="24"/>
          <w:highlight w:val="none"/>
        </w:rPr>
      </w:pPr>
      <w:r>
        <w:rPr>
          <w:rFonts w:ascii="宋体" w:hAnsi="宋体"/>
          <w:b/>
          <w:color w:val="auto"/>
          <w:sz w:val="24"/>
          <w:highlight w:val="none"/>
        </w:rPr>
        <w:t xml:space="preserve">3.2 </w:t>
      </w:r>
      <w:r>
        <w:rPr>
          <w:rFonts w:hint="eastAsia" w:ascii="宋体" w:hAnsi="宋体"/>
          <w:b/>
          <w:color w:val="auto"/>
          <w:sz w:val="24"/>
          <w:highlight w:val="none"/>
        </w:rPr>
        <w:t>报价方式</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3.2.1本次报价为</w:t>
      </w:r>
      <w:r>
        <w:rPr>
          <w:rFonts w:hint="eastAsia" w:ascii="宋体" w:hAnsi="宋体"/>
          <w:color w:val="auto"/>
          <w:sz w:val="24"/>
          <w:highlight w:val="none"/>
          <w:lang w:eastAsia="zh-CN"/>
        </w:rPr>
        <w:t>一次报价</w:t>
      </w:r>
      <w:r>
        <w:rPr>
          <w:rFonts w:hint="eastAsia" w:ascii="宋体" w:hAnsi="宋体"/>
          <w:color w:val="auto"/>
          <w:sz w:val="24"/>
          <w:highlight w:val="none"/>
        </w:rPr>
        <w:t>。</w:t>
      </w:r>
      <w:r>
        <w:rPr>
          <w:rFonts w:hint="eastAsia" w:ascii="宋体" w:hAnsi="宋体"/>
          <w:b/>
          <w:color w:val="auto"/>
          <w:sz w:val="24"/>
          <w:highlight w:val="none"/>
        </w:rPr>
        <w:t>最终报价不得高于</w:t>
      </w:r>
      <w:r>
        <w:rPr>
          <w:rFonts w:hint="eastAsia"/>
          <w:b/>
          <w:color w:val="auto"/>
          <w:sz w:val="24"/>
          <w:highlight w:val="none"/>
          <w:lang w:eastAsia="zh-CN"/>
        </w:rPr>
        <w:t>投标人的</w:t>
      </w:r>
      <w:r>
        <w:rPr>
          <w:rFonts w:hint="eastAsia" w:ascii="宋体" w:hAnsi="宋体"/>
          <w:b/>
          <w:color w:val="auto"/>
          <w:sz w:val="24"/>
          <w:highlight w:val="none"/>
        </w:rPr>
        <w:t>市场优惠价。</w:t>
      </w:r>
    </w:p>
    <w:p>
      <w:pPr>
        <w:pStyle w:val="2"/>
        <w:rPr>
          <w:rFonts w:hint="eastAsia" w:ascii="宋体" w:hAnsi="宋体"/>
          <w:b/>
          <w:color w:val="auto"/>
          <w:sz w:val="24"/>
          <w:highlight w:val="none"/>
        </w:rPr>
      </w:pPr>
      <w:r>
        <w:rPr>
          <w:rFonts w:hint="eastAsia"/>
          <w:lang w:val="en-US" w:eastAsia="zh-CN"/>
        </w:rPr>
        <w:t>3.2.2</w:t>
      </w:r>
      <w:bookmarkStart w:id="67" w:name="_Toc312072248"/>
      <w:r>
        <w:rPr>
          <w:rFonts w:hint="eastAsia" w:ascii="宋体" w:hAnsi="宋体"/>
          <w:b/>
          <w:color w:val="auto"/>
          <w:sz w:val="24"/>
          <w:highlight w:val="none"/>
        </w:rPr>
        <w:t>投标人应根据招标文件中用户需求书的要求，对照投标报价表格式规定的填报内容进行逐项报价。</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3.2.</w:t>
      </w:r>
      <w:r>
        <w:rPr>
          <w:rFonts w:hint="eastAsia" w:ascii="宋体" w:hAnsi="宋体"/>
          <w:color w:val="auto"/>
          <w:sz w:val="24"/>
          <w:highlight w:val="none"/>
          <w:lang w:val="en-US" w:eastAsia="zh-CN"/>
        </w:rPr>
        <w:t>3</w:t>
      </w:r>
      <w:r>
        <w:rPr>
          <w:rFonts w:hint="eastAsia" w:ascii="宋体" w:hAnsi="宋体"/>
          <w:color w:val="auto"/>
          <w:sz w:val="24"/>
          <w:highlight w:val="none"/>
        </w:rPr>
        <w:t>本工程报价采用的币种为人民币。</w:t>
      </w:r>
    </w:p>
    <w:p>
      <w:pPr>
        <w:spacing w:line="520" w:lineRule="exact"/>
        <w:ind w:firstLine="480" w:firstLineChars="200"/>
        <w:rPr>
          <w:rFonts w:hint="eastAsia" w:ascii="宋体" w:hAnsi="宋体"/>
          <w:b/>
          <w:color w:val="auto"/>
          <w:sz w:val="24"/>
          <w:highlight w:val="none"/>
        </w:rPr>
      </w:pPr>
      <w:r>
        <w:rPr>
          <w:rFonts w:hint="eastAsia" w:ascii="宋体" w:hAnsi="宋体"/>
          <w:color w:val="auto"/>
          <w:sz w:val="24"/>
          <w:highlight w:val="none"/>
        </w:rPr>
        <w:t>3.2.</w:t>
      </w:r>
      <w:r>
        <w:rPr>
          <w:rFonts w:hint="eastAsia" w:ascii="宋体" w:hAnsi="宋体"/>
          <w:color w:val="auto"/>
          <w:sz w:val="24"/>
          <w:highlight w:val="none"/>
          <w:lang w:val="en-US" w:eastAsia="zh-CN"/>
        </w:rPr>
        <w:t>4</w:t>
      </w:r>
      <w:r>
        <w:rPr>
          <w:rFonts w:hint="eastAsia" w:ascii="宋体" w:hAnsi="宋体"/>
          <w:color w:val="auto"/>
          <w:sz w:val="24"/>
          <w:highlight w:val="none"/>
        </w:rPr>
        <w:t>本工程报价为含税报价。</w:t>
      </w:r>
    </w:p>
    <w:p>
      <w:pPr>
        <w:spacing w:line="440" w:lineRule="exact"/>
        <w:rPr>
          <w:rFonts w:ascii="宋体"/>
          <w:b/>
          <w:color w:val="auto"/>
          <w:sz w:val="24"/>
          <w:highlight w:val="none"/>
        </w:rPr>
      </w:pPr>
      <w:r>
        <w:rPr>
          <w:rFonts w:ascii="宋体" w:hAnsi="宋体"/>
          <w:b/>
          <w:color w:val="auto"/>
          <w:sz w:val="24"/>
          <w:highlight w:val="none"/>
        </w:rPr>
        <w:t xml:space="preserve">3.3 </w:t>
      </w:r>
      <w:r>
        <w:rPr>
          <w:rFonts w:hint="eastAsia" w:ascii="宋体" w:hAnsi="宋体"/>
          <w:b/>
          <w:color w:val="auto"/>
          <w:sz w:val="24"/>
          <w:highlight w:val="none"/>
        </w:rPr>
        <w:t>投标有效期</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3.3.1 在供应商须知前附表规定的投标有效期内，供应商不得要求撤销或修改其响应文件。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3.3.2出现特殊情况需要延长投标有效期的，采购人将通过中国采购与招标网通知所有供应商延长投标有效期。供应商同意延长的，应相应延长其磋商有效期，但不得要求修改或撤销其响应文件；供应商拒绝延长的，其投标失效。</w:t>
      </w:r>
    </w:p>
    <w:p>
      <w:pPr>
        <w:spacing w:line="440" w:lineRule="exact"/>
        <w:jc w:val="left"/>
        <w:rPr>
          <w:rFonts w:ascii="宋体"/>
          <w:b/>
          <w:color w:val="auto"/>
          <w:sz w:val="24"/>
          <w:highlight w:val="none"/>
        </w:rPr>
      </w:pPr>
      <w:r>
        <w:rPr>
          <w:rFonts w:ascii="宋体" w:hAnsi="宋体"/>
          <w:b/>
          <w:color w:val="auto"/>
          <w:sz w:val="24"/>
          <w:highlight w:val="none"/>
        </w:rPr>
        <w:t xml:space="preserve">3.4 </w:t>
      </w:r>
      <w:r>
        <w:rPr>
          <w:rFonts w:hint="eastAsia" w:ascii="宋体" w:hAnsi="宋体"/>
          <w:b/>
          <w:color w:val="auto"/>
          <w:sz w:val="24"/>
          <w:highlight w:val="none"/>
        </w:rPr>
        <w:t>磋商保证金</w:t>
      </w:r>
      <w:bookmarkEnd w:id="67"/>
      <w:r>
        <w:rPr>
          <w:rFonts w:hint="eastAsia" w:ascii="宋体"/>
          <w:b/>
          <w:color w:val="auto"/>
          <w:sz w:val="24"/>
          <w:highlight w:val="none"/>
        </w:rPr>
        <w:t>：</w:t>
      </w:r>
      <w:r>
        <w:rPr>
          <w:rFonts w:hint="eastAsia" w:ascii="宋体" w:hAnsi="宋体" w:cs="宋体"/>
          <w:b/>
          <w:bCs/>
          <w:color w:val="auto"/>
          <w:kern w:val="0"/>
          <w:sz w:val="24"/>
          <w:highlight w:val="none"/>
          <w:lang w:eastAsia="zh-CN"/>
        </w:rPr>
        <w:t>无</w:t>
      </w:r>
      <w:r>
        <w:rPr>
          <w:rFonts w:hint="eastAsia" w:ascii="宋体" w:hAnsi="宋体" w:cs="宋体"/>
          <w:b/>
          <w:bCs/>
          <w:color w:val="auto"/>
          <w:kern w:val="0"/>
          <w:sz w:val="24"/>
          <w:highlight w:val="none"/>
        </w:rPr>
        <w:t>。</w:t>
      </w:r>
    </w:p>
    <w:p>
      <w:pPr>
        <w:spacing w:line="440" w:lineRule="exact"/>
        <w:rPr>
          <w:rFonts w:ascii="宋体"/>
          <w:b/>
          <w:color w:val="auto"/>
          <w:sz w:val="24"/>
          <w:highlight w:val="none"/>
        </w:rPr>
      </w:pPr>
      <w:r>
        <w:rPr>
          <w:rFonts w:ascii="宋体" w:hAnsi="宋体"/>
          <w:b/>
          <w:color w:val="auto"/>
          <w:sz w:val="24"/>
          <w:highlight w:val="none"/>
        </w:rPr>
        <w:t>3.5</w:t>
      </w:r>
      <w:bookmarkStart w:id="68" w:name="_Toc144974522"/>
      <w:bookmarkStart w:id="69" w:name="_Toc152042330"/>
      <w:bookmarkStart w:id="70" w:name="_Toc152045554"/>
      <w:bookmarkStart w:id="71" w:name="_Toc269310940"/>
      <w:bookmarkStart w:id="72" w:name="_Toc312072251"/>
      <w:r>
        <w:rPr>
          <w:rFonts w:hint="eastAsia" w:ascii="宋体" w:hAnsi="宋体"/>
          <w:b/>
          <w:color w:val="auto"/>
          <w:sz w:val="24"/>
          <w:highlight w:val="none"/>
        </w:rPr>
        <w:t>响应文件的编制</w:t>
      </w:r>
      <w:bookmarkEnd w:id="68"/>
      <w:bookmarkEnd w:id="69"/>
      <w:bookmarkEnd w:id="70"/>
      <w:bookmarkEnd w:id="71"/>
      <w:bookmarkEnd w:id="72"/>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3.5.1 响应文件应当对磋商文件有关服务周期 、投标有效期、质量要求、合同、技术标准和要求等实质性内容作出响应。</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3.5.2响应文件应用不褪色的材料书写或打印，并由供应商的法定代表人或其委托代理人签字或盖章并盖单位章。委托代理人签字或盖章的，响应文件应附法定代表人签署的授权委托书。响应文件应尽量避免涂改、行间插字或删除。如果出现上述情况，改动之处应加盖单位章并由供应商的法定代表人或其授权的代理人签字或盖章确认。</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3.5.3 响应文件正本壹份，副本份数见供应商须知前附表。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3.5.4响应文件的正本与副本应分别装订成册，并编制目录，具体装订要求见供应商须知前附表规定。</w:t>
      </w:r>
    </w:p>
    <w:p>
      <w:pPr>
        <w:spacing w:line="440" w:lineRule="exact"/>
        <w:rPr>
          <w:rFonts w:ascii="宋体"/>
          <w:b/>
          <w:color w:val="auto"/>
          <w:sz w:val="24"/>
          <w:highlight w:val="none"/>
        </w:rPr>
      </w:pPr>
      <w:r>
        <w:rPr>
          <w:rFonts w:hint="eastAsia" w:ascii="宋体" w:hAnsi="宋体"/>
          <w:b/>
          <w:color w:val="auto"/>
          <w:sz w:val="24"/>
          <w:highlight w:val="none"/>
        </w:rPr>
        <w:t>3.6响应文件的修改与撤回</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3.6.1在供应商须知前附表中规定的开标截止时间前，供应商可以修改或撤回已递交的响应文件，但应以书面形式通知采购人。</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3.6.2供应商修改或撤回已递交响应文件的书面通知应按照供应商须知前附表的要求签字或盖章。采购人收到书面通知后，向供应商出具签收凭证。</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3.6.3修改的内容为响应文件的组成部分。修改的响应文件应按照供应商须知前附表规定进行编制、密封、标记和递交，并标明“修改”字样。在开标截止时间之后，供应商不得补充、修改响应文件。</w:t>
      </w:r>
    </w:p>
    <w:p>
      <w:pPr>
        <w:spacing w:line="440" w:lineRule="exact"/>
        <w:rPr>
          <w:rFonts w:ascii="宋体"/>
          <w:b/>
          <w:color w:val="auto"/>
          <w:sz w:val="24"/>
          <w:highlight w:val="none"/>
        </w:rPr>
      </w:pPr>
      <w:r>
        <w:rPr>
          <w:rFonts w:ascii="宋体" w:hAnsi="宋体"/>
          <w:b/>
          <w:color w:val="auto"/>
          <w:sz w:val="24"/>
          <w:highlight w:val="none"/>
        </w:rPr>
        <w:t xml:space="preserve">4. </w:t>
      </w:r>
      <w:r>
        <w:rPr>
          <w:rFonts w:hint="eastAsia" w:ascii="宋体" w:hAnsi="宋体"/>
          <w:b/>
          <w:color w:val="auto"/>
          <w:sz w:val="24"/>
          <w:highlight w:val="none"/>
        </w:rPr>
        <w:t>响应文件的密封与递交</w:t>
      </w:r>
    </w:p>
    <w:p>
      <w:pPr>
        <w:spacing w:line="440" w:lineRule="exact"/>
        <w:rPr>
          <w:rFonts w:ascii="宋体"/>
          <w:b/>
          <w:color w:val="auto"/>
          <w:sz w:val="24"/>
          <w:highlight w:val="none"/>
        </w:rPr>
      </w:pPr>
      <w:r>
        <w:rPr>
          <w:rFonts w:ascii="宋体" w:hAnsi="宋体"/>
          <w:b/>
          <w:color w:val="auto"/>
          <w:sz w:val="24"/>
          <w:highlight w:val="none"/>
        </w:rPr>
        <w:t xml:space="preserve">4.1 </w:t>
      </w:r>
      <w:r>
        <w:rPr>
          <w:rFonts w:hint="eastAsia" w:ascii="宋体" w:hAnsi="宋体"/>
          <w:b/>
          <w:color w:val="auto"/>
          <w:sz w:val="24"/>
          <w:highlight w:val="none"/>
        </w:rPr>
        <w:t>响应文件的密封和标记</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4.1.1供应商应准备五份响应文件，一份正本和四份副本，并在每一份响应文件上要注明“正本”或“副本”字样，一旦正本和副本有差异，以正本为准。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4.1.2 供应商宜将响应文件正本、副本分别密封，并在封面明显处注明以下内容（封面格式见附件）：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 项目编号、项目名称、包号</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 正本或副本</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 供应商名称（加盖公章）、地址、邮编、电话、传真</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4.1.3 为方便检查供应商的资格，请供应商另外单独准备一套资格、资质证明文件（复印件）并单独密封，在密封件正面加盖单位公章并在封面上注明“资格、资质证明文件”、供应商名称、地址、电话。在供应商投标的同时将“资格、资质证明文件”交磋商小组备查。</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4.1.4每一密封件在封口处加盖单位公章并注明“于</w:t>
      </w:r>
      <w:r>
        <w:rPr>
          <w:rFonts w:hint="eastAsia"/>
          <w:color w:val="auto"/>
          <w:sz w:val="24"/>
          <w:highlight w:val="none"/>
          <w:lang w:eastAsia="zh-CN"/>
        </w:rPr>
        <w:t>201</w:t>
      </w:r>
      <w:r>
        <w:rPr>
          <w:rFonts w:hint="eastAsia"/>
          <w:color w:val="auto"/>
          <w:sz w:val="24"/>
          <w:highlight w:val="none"/>
          <w:lang w:val="en-US" w:eastAsia="zh-CN"/>
        </w:rPr>
        <w:t>9</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30</w:t>
      </w:r>
      <w:r>
        <w:rPr>
          <w:rFonts w:hint="eastAsia"/>
          <w:color w:val="auto"/>
          <w:sz w:val="24"/>
          <w:highlight w:val="none"/>
        </w:rPr>
        <w:t>日</w:t>
      </w:r>
      <w:r>
        <w:rPr>
          <w:rFonts w:hint="eastAsia"/>
          <w:color w:val="auto"/>
          <w:sz w:val="24"/>
          <w:highlight w:val="none"/>
          <w:lang w:val="en-US" w:eastAsia="zh-CN"/>
        </w:rPr>
        <w:t>9</w:t>
      </w:r>
      <w:r>
        <w:rPr>
          <w:rFonts w:hint="eastAsia"/>
          <w:color w:val="auto"/>
          <w:sz w:val="24"/>
          <w:highlight w:val="none"/>
        </w:rPr>
        <w:t>:</w:t>
      </w:r>
      <w:r>
        <w:rPr>
          <w:rFonts w:hint="eastAsia"/>
          <w:color w:val="auto"/>
          <w:sz w:val="24"/>
          <w:highlight w:val="none"/>
          <w:lang w:val="en-US" w:eastAsia="zh-CN"/>
        </w:rPr>
        <w:t>00</w:t>
      </w:r>
      <w:r>
        <w:rPr>
          <w:rFonts w:hint="eastAsia"/>
          <w:color w:val="auto"/>
          <w:sz w:val="24"/>
          <w:highlight w:val="none"/>
        </w:rPr>
        <w:t>时</w:t>
      </w:r>
      <w:r>
        <w:rPr>
          <w:rFonts w:hint="eastAsia" w:ascii="宋体" w:hAnsi="宋体"/>
          <w:color w:val="auto"/>
          <w:sz w:val="24"/>
          <w:highlight w:val="none"/>
        </w:rPr>
        <w:t>之前不准启封”字样。</w:t>
      </w:r>
    </w:p>
    <w:p>
      <w:pPr>
        <w:spacing w:line="440" w:lineRule="exact"/>
        <w:rPr>
          <w:rFonts w:ascii="宋体"/>
          <w:b/>
          <w:color w:val="auto"/>
          <w:sz w:val="24"/>
          <w:highlight w:val="none"/>
        </w:rPr>
      </w:pPr>
      <w:bookmarkStart w:id="73" w:name="_Toc312072254"/>
      <w:bookmarkStart w:id="74" w:name="_Toc269310943"/>
      <w:bookmarkStart w:id="75" w:name="_Toc152045557"/>
      <w:bookmarkStart w:id="76" w:name="_Toc152042333"/>
      <w:bookmarkStart w:id="77" w:name="_Toc144974525"/>
      <w:r>
        <w:rPr>
          <w:rFonts w:ascii="宋体" w:hAnsi="宋体"/>
          <w:b/>
          <w:color w:val="auto"/>
          <w:sz w:val="24"/>
          <w:highlight w:val="none"/>
        </w:rPr>
        <w:t xml:space="preserve">4.2 </w:t>
      </w:r>
      <w:r>
        <w:rPr>
          <w:rFonts w:hint="eastAsia" w:ascii="宋体" w:hAnsi="宋体"/>
          <w:b/>
          <w:color w:val="auto"/>
          <w:sz w:val="24"/>
          <w:highlight w:val="none"/>
        </w:rPr>
        <w:t>响应文件的递交</w:t>
      </w:r>
      <w:bookmarkEnd w:id="73"/>
      <w:bookmarkEnd w:id="74"/>
      <w:bookmarkEnd w:id="75"/>
      <w:bookmarkEnd w:id="76"/>
      <w:bookmarkEnd w:id="77"/>
    </w:p>
    <w:p>
      <w:pPr>
        <w:spacing w:line="440" w:lineRule="exact"/>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.2.1供应商应在规定的开标截止时间前递交密封完好纸质响应文件。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4.2.2 供应商递交纸质响应文件的地点：见供应商须知前附表。</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4.2.3 除供应商须知前附表另有规定外，供应商所递交的纸质响应文件不予退还。</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4.2.4 采购人收到纸质响应文件后，向供应商出具签收凭证。</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4.2.5 逾期送达的或者未送达指定地点的纸质响应文件，采购人不予受理。</w:t>
      </w:r>
    </w:p>
    <w:p>
      <w:pPr>
        <w:spacing w:line="440" w:lineRule="exact"/>
        <w:rPr>
          <w:rFonts w:ascii="宋体"/>
          <w:b/>
          <w:color w:val="auto"/>
          <w:sz w:val="24"/>
          <w:highlight w:val="none"/>
        </w:rPr>
      </w:pPr>
      <w:r>
        <w:rPr>
          <w:rFonts w:ascii="宋体" w:hAnsi="宋体"/>
          <w:b/>
          <w:color w:val="auto"/>
          <w:sz w:val="24"/>
          <w:highlight w:val="none"/>
        </w:rPr>
        <w:t xml:space="preserve">5. </w:t>
      </w:r>
      <w:r>
        <w:rPr>
          <w:rFonts w:hint="eastAsia" w:ascii="宋体" w:hAnsi="宋体"/>
          <w:b/>
          <w:color w:val="auto"/>
          <w:sz w:val="24"/>
          <w:highlight w:val="none"/>
        </w:rPr>
        <w:t>开标</w:t>
      </w:r>
    </w:p>
    <w:p>
      <w:pPr>
        <w:spacing w:line="440" w:lineRule="exact"/>
        <w:rPr>
          <w:rFonts w:ascii="宋体"/>
          <w:b/>
          <w:color w:val="auto"/>
          <w:sz w:val="24"/>
          <w:highlight w:val="none"/>
        </w:rPr>
      </w:pPr>
      <w:bookmarkStart w:id="78" w:name="_Toc312072257"/>
      <w:bookmarkStart w:id="79" w:name="_Toc144974528"/>
      <w:bookmarkStart w:id="80" w:name="_Toc152045560"/>
      <w:bookmarkStart w:id="81" w:name="_Toc152042336"/>
      <w:bookmarkStart w:id="82" w:name="_Toc269310947"/>
      <w:r>
        <w:rPr>
          <w:rFonts w:ascii="宋体" w:hAnsi="宋体"/>
          <w:b/>
          <w:color w:val="auto"/>
          <w:sz w:val="24"/>
          <w:highlight w:val="none"/>
        </w:rPr>
        <w:t xml:space="preserve">5.1 </w:t>
      </w:r>
      <w:r>
        <w:rPr>
          <w:rFonts w:hint="eastAsia" w:ascii="宋体" w:hAnsi="宋体"/>
          <w:b/>
          <w:color w:val="auto"/>
          <w:sz w:val="24"/>
          <w:highlight w:val="none"/>
        </w:rPr>
        <w:t>开标时间和地点</w:t>
      </w:r>
      <w:bookmarkEnd w:id="78"/>
      <w:bookmarkEnd w:id="79"/>
      <w:bookmarkEnd w:id="80"/>
      <w:bookmarkEnd w:id="81"/>
      <w:bookmarkEnd w:id="82"/>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采购人在供应商须知前附表规定的开标截止时间和地点公开开标。所有供应商的法定代表人（或其委托代理人）准时参加，供应商的法定代表人（或其委托代理人）未按时参加开标会议的，其响应文件将被拒绝。</w:t>
      </w:r>
    </w:p>
    <w:p>
      <w:pPr>
        <w:spacing w:line="440" w:lineRule="exact"/>
        <w:rPr>
          <w:rFonts w:ascii="宋体"/>
          <w:b/>
          <w:color w:val="auto"/>
          <w:sz w:val="24"/>
          <w:highlight w:val="none"/>
        </w:rPr>
      </w:pPr>
      <w:r>
        <w:rPr>
          <w:rFonts w:ascii="宋体" w:hAnsi="宋体"/>
          <w:b/>
          <w:color w:val="auto"/>
          <w:sz w:val="24"/>
          <w:highlight w:val="none"/>
        </w:rPr>
        <w:t xml:space="preserve">5.2 </w:t>
      </w:r>
      <w:r>
        <w:rPr>
          <w:rFonts w:hint="eastAsia" w:ascii="宋体" w:hAnsi="宋体"/>
          <w:b/>
          <w:color w:val="auto"/>
          <w:sz w:val="24"/>
          <w:highlight w:val="none"/>
        </w:rPr>
        <w:t>开标程序</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5.2.1按照磋商文件规定的时间、地点开标。监督人员、采购人、供应商参加。</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5.2.2 到开标截止时间，采购代理机构人员工作人员宣布开标截止等有关事项。</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5.2.3供应商相互检查响应文件的密封情况，法定代表人或其委托代理人签字确认。</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5.2.4供应商按照签到顺序依确定唱标顺序。</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5.2.5由代理机构工作人员开启响应文件。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5.2.6 公开唱标。</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5.2.7开标仪式结束，进入评审阶段。</w:t>
      </w:r>
    </w:p>
    <w:p>
      <w:pPr>
        <w:spacing w:line="440" w:lineRule="exact"/>
        <w:rPr>
          <w:rFonts w:ascii="宋体"/>
          <w:b/>
          <w:color w:val="auto"/>
          <w:sz w:val="24"/>
          <w:highlight w:val="none"/>
        </w:rPr>
      </w:pPr>
      <w:r>
        <w:rPr>
          <w:rFonts w:ascii="宋体" w:hAnsi="宋体"/>
          <w:b/>
          <w:color w:val="auto"/>
          <w:sz w:val="24"/>
          <w:highlight w:val="none"/>
        </w:rPr>
        <w:t xml:space="preserve">6. </w:t>
      </w:r>
      <w:r>
        <w:rPr>
          <w:rFonts w:hint="eastAsia" w:ascii="宋体" w:hAnsi="宋体"/>
          <w:b/>
          <w:color w:val="auto"/>
          <w:sz w:val="24"/>
          <w:highlight w:val="none"/>
        </w:rPr>
        <w:t>磋商</w:t>
      </w:r>
    </w:p>
    <w:p>
      <w:pPr>
        <w:pStyle w:val="8"/>
        <w:spacing w:after="0" w:line="440" w:lineRule="exact"/>
        <w:ind w:firstLine="482" w:firstLineChars="200"/>
        <w:rPr>
          <w:rFonts w:cs="宋体"/>
          <w:b/>
          <w:color w:val="auto"/>
          <w:sz w:val="24"/>
          <w:highlight w:val="none"/>
        </w:rPr>
      </w:pPr>
      <w:r>
        <w:rPr>
          <w:rFonts w:hint="eastAsia" w:cs="宋体"/>
          <w:b/>
          <w:color w:val="auto"/>
          <w:sz w:val="24"/>
          <w:highlight w:val="none"/>
        </w:rPr>
        <w:t>6.1</w:t>
      </w:r>
      <w:r>
        <w:rPr>
          <w:rFonts w:hint="eastAsia"/>
          <w:b/>
          <w:color w:val="auto"/>
          <w:sz w:val="24"/>
          <w:highlight w:val="none"/>
        </w:rPr>
        <w:t>磋商</w:t>
      </w:r>
      <w:r>
        <w:rPr>
          <w:rFonts w:hint="eastAsia" w:cs="宋体"/>
          <w:b/>
          <w:color w:val="auto"/>
          <w:sz w:val="24"/>
          <w:highlight w:val="none"/>
        </w:rPr>
        <w:t>小组</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6.1.1磋商小组由</w:t>
      </w:r>
      <w:r>
        <w:rPr>
          <w:rFonts w:hint="eastAsia"/>
          <w:color w:val="auto"/>
          <w:sz w:val="24"/>
          <w:highlight w:val="none"/>
        </w:rPr>
        <w:t>采购人按照政府采购法律、法规的规定组建</w:t>
      </w:r>
      <w:r>
        <w:rPr>
          <w:rFonts w:hint="eastAsia" w:cs="宋体"/>
          <w:color w:val="auto"/>
          <w:sz w:val="24"/>
          <w:highlight w:val="none"/>
        </w:rPr>
        <w:t>，</w:t>
      </w:r>
      <w:r>
        <w:rPr>
          <w:rFonts w:hint="eastAsia"/>
          <w:color w:val="auto"/>
          <w:sz w:val="24"/>
          <w:highlight w:val="none"/>
        </w:rPr>
        <w:t>采取随机抽取的方式产生，</w:t>
      </w:r>
      <w:r>
        <w:rPr>
          <w:rFonts w:ascii="Arial" w:hAnsi="Arial" w:cs="Arial"/>
          <w:color w:val="auto"/>
          <w:sz w:val="24"/>
          <w:highlight w:val="none"/>
          <w:shd w:val="clear" w:color="auto" w:fill="FFFFFF"/>
        </w:rPr>
        <w:t>由采购人代表和评审专家共3人以上单数组成，其中评审专家人数不得少于磋商小组成员总数的2/3。</w:t>
      </w:r>
    </w:p>
    <w:p>
      <w:pPr>
        <w:spacing w:line="440" w:lineRule="exact"/>
        <w:ind w:firstLine="480" w:firstLineChars="200"/>
        <w:jc w:val="left"/>
        <w:rPr>
          <w:rFonts w:ascii="宋体"/>
          <w:color w:val="auto"/>
          <w:sz w:val="24"/>
          <w:highlight w:val="none"/>
        </w:rPr>
      </w:pPr>
      <w:r>
        <w:rPr>
          <w:rFonts w:ascii="宋体" w:hAnsi="宋体"/>
          <w:color w:val="auto"/>
          <w:sz w:val="24"/>
          <w:highlight w:val="none"/>
        </w:rPr>
        <w:t>6.1.2</w:t>
      </w:r>
      <w:r>
        <w:rPr>
          <w:rFonts w:hint="eastAsia" w:ascii="宋体" w:hAnsi="宋体"/>
          <w:color w:val="auto"/>
          <w:sz w:val="24"/>
          <w:highlight w:val="none"/>
        </w:rPr>
        <w:t>磋商小组成员有下列情形之一的，应当回避：</w:t>
      </w:r>
    </w:p>
    <w:p>
      <w:pPr>
        <w:spacing w:line="440" w:lineRule="exact"/>
        <w:ind w:firstLine="360" w:firstLineChars="15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）采购人或供应商的主要负责人的近亲属；</w:t>
      </w:r>
    </w:p>
    <w:p>
      <w:pPr>
        <w:spacing w:line="440" w:lineRule="exact"/>
        <w:ind w:firstLine="360" w:firstLineChars="15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）项目主管部门或者行政监督部门的人员；</w:t>
      </w:r>
    </w:p>
    <w:p>
      <w:pPr>
        <w:spacing w:line="440" w:lineRule="exact"/>
        <w:ind w:firstLine="360" w:firstLineChars="15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）与供应商有经济利益关系，可能影响对投标公正评审的；</w:t>
      </w:r>
    </w:p>
    <w:p>
      <w:pPr>
        <w:spacing w:line="440" w:lineRule="exact"/>
        <w:ind w:firstLine="360" w:firstLineChars="150"/>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）曾因在采购、磋商以及其他与招标采购有关活动中从事违法行为而受过行政处罚或刑事处罚的。</w:t>
      </w:r>
    </w:p>
    <w:p>
      <w:pPr>
        <w:pStyle w:val="9"/>
        <w:spacing w:line="440" w:lineRule="exact"/>
        <w:ind w:left="0" w:leftChars="0"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6.2磋商原则</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“公平、公正、择优、效益”为本次竞争性磋商的基本原则，磋商小组按照这一原则的要求，公正、平等地对待各供应商。同时，在磋商过程中恪守以下原则：</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 xml:space="preserve">6.2.1客观性原则：磋商小组将严格按照磋商文件要求的内容，对供应商的响应文件进行认真评审；磋商小组对响应文件的评审仅依据响应文件本身，而不依靠响应文件以外的任何因素； </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6.2.2 统一性原则：磋商小组将按照统一的磋商原则和评审方法，用同一标准对各供应商的响应文件进行评审；</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6.2.3 独立性原则：评审工作在磋商小组内部独立进行，不受外界任何因素的干扰和影响。磋商小组成员对出具的磋商意见承担个人责任；</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6.2.4 物有所值原则：通过第一轮的公开报价，激发供应商展开竞争，进一步优化方案，并使报价符合预期目标；</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6.2.5保密性原则：保证磋商在严格保密的情况下进行；</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6.2.6 综合性原则：磋商小组将综合分析、评审供应商的各项指标，而不以单项指标的优劣推荐出成交候选人；</w:t>
      </w:r>
    </w:p>
    <w:p>
      <w:pPr>
        <w:pStyle w:val="8"/>
        <w:spacing w:after="0" w:line="440" w:lineRule="exact"/>
        <w:ind w:firstLine="480" w:firstLineChars="200"/>
        <w:rPr>
          <w:rFonts w:cs="宋体"/>
          <w:color w:val="auto"/>
          <w:sz w:val="24"/>
          <w:highlight w:val="none"/>
        </w:rPr>
      </w:pPr>
      <w:r>
        <w:rPr>
          <w:rFonts w:hint="eastAsia" w:cs="宋体"/>
          <w:color w:val="auto"/>
          <w:sz w:val="24"/>
          <w:highlight w:val="none"/>
        </w:rPr>
        <w:t>6.2.7 集体决定的原则：成交候选人由磋商小组集体推荐，并由监督人宣布成交候选人。</w:t>
      </w:r>
    </w:p>
    <w:p>
      <w:pPr>
        <w:pStyle w:val="9"/>
        <w:spacing w:line="440" w:lineRule="exact"/>
        <w:ind w:left="0" w:leftChars="0"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6.3</w:t>
      </w:r>
      <w:r>
        <w:rPr>
          <w:rFonts w:ascii="宋体" w:hAnsi="宋体" w:cs="宋体"/>
          <w:b/>
          <w:color w:val="auto"/>
          <w:kern w:val="0"/>
          <w:sz w:val="24"/>
          <w:highlight w:val="none"/>
        </w:rPr>
        <w:t>评审方法</w:t>
      </w:r>
    </w:p>
    <w:p>
      <w:pPr>
        <w:spacing w:line="440" w:lineRule="exact"/>
        <w:ind w:firstLine="360" w:firstLineChars="150"/>
        <w:rPr>
          <w:rFonts w:ascii="宋体" w:hAnsi="宋体"/>
          <w:color w:val="auto"/>
          <w:sz w:val="24"/>
          <w:highlight w:val="none"/>
        </w:rPr>
      </w:pPr>
      <w:r>
        <w:rPr>
          <w:rFonts w:hint="eastAsia" w:ascii="宋体" w:hAnsi="宋体" w:cs="宋体"/>
          <w:color w:val="auto"/>
          <w:sz w:val="24"/>
          <w:highlight w:val="none"/>
        </w:rPr>
        <w:t>6.3.</w:t>
      </w:r>
      <w:r>
        <w:rPr>
          <w:rFonts w:ascii="宋体" w:hAnsi="宋体" w:cs="宋体"/>
          <w:color w:val="auto"/>
          <w:sz w:val="24"/>
          <w:highlight w:val="none"/>
        </w:rPr>
        <w:t>1</w:t>
      </w:r>
      <w:r>
        <w:rPr>
          <w:rFonts w:hint="eastAsia" w:ascii="宋体" w:hAnsi="宋体"/>
          <w:color w:val="auto"/>
          <w:sz w:val="24"/>
          <w:highlight w:val="none"/>
        </w:rPr>
        <w:t>本次磋商采用综合评分法，磋商小组综合评定各供应商提交的响应文件，由磋商小组综合各成员评分意见，推荐成交候选人。</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6.3.</w:t>
      </w:r>
      <w:r>
        <w:rPr>
          <w:rFonts w:ascii="宋体" w:hAnsi="宋体" w:cs="宋体"/>
          <w:color w:val="auto"/>
          <w:sz w:val="24"/>
          <w:highlight w:val="none"/>
        </w:rPr>
        <w:t>2  初步评审</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磋商小组将确定每一供应商是否对竞争性磋商磋商文件的要求做出了实质性的响应，而没有重大偏离。实质性响应的投标文件是指投标符合竞争性磋商磋商文件的所有条款、条件和规定且没有重大偏离或保留。</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（2）如出现下列情形之一的，视为对竞争性磋商磋商文件没有做出实质性响应，按照无效投标处理。</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a) 响应文件不完整；</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b) 响应文件未按竞争性磋商文件要求签字或盖章；</w:t>
      </w:r>
    </w:p>
    <w:p>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c) 响应文件载明的服务周期超过竞争性磋商磋商文件规定的时间；</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d) 供应商未按要求不参加公开报价仪式及询标事宜；</w:t>
      </w:r>
    </w:p>
    <w:p>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e) 响应文件出现采购人名称、项目名称、技术参数等与磋商文件相关内容严重不一致的；</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f) 不符合竞争性磋商磋商文件中规定的其他实质性要求。</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（3）磋商小组允许供应商修改响应文件中不构成重大偏离的、微小的、非正规、不一致或不规则的地方。但是修改的内容不能改变响应文件的实质性内容，供应商修改的内容以书面文件为准。</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（4）磋商小组将拒绝被确定为非实质性响应的响应文件，供应商不能通过修正或撤销响应文件中的不符之处而使其报价成为实质性响应的报价。</w:t>
      </w:r>
    </w:p>
    <w:p>
      <w:pPr>
        <w:pStyle w:val="9"/>
        <w:spacing w:line="440" w:lineRule="exact"/>
        <w:ind w:left="0" w:leftChars="0" w:firstLine="480" w:firstLineChars="200"/>
        <w:rPr>
          <w:rFonts w:ascii="宋体" w:hAnsi="宋体" w:cs="宋体"/>
          <w:color w:val="auto"/>
          <w:kern w:val="0"/>
          <w:sz w:val="24"/>
          <w:highlight w:val="none"/>
        </w:rPr>
      </w:pPr>
      <w:r>
        <w:rPr>
          <w:rFonts w:hint="eastAsia" w:ascii="宋体" w:hAnsi="宋体" w:cs="宋体"/>
          <w:color w:val="auto"/>
          <w:sz w:val="24"/>
          <w:highlight w:val="none"/>
        </w:rPr>
        <w:t>6.3.</w:t>
      </w:r>
      <w:r>
        <w:rPr>
          <w:rFonts w:hint="eastAsia" w:ascii="宋体" w:hAnsi="宋体" w:cs="宋体"/>
          <w:color w:val="auto"/>
          <w:kern w:val="0"/>
          <w:sz w:val="24"/>
          <w:highlight w:val="none"/>
        </w:rPr>
        <w:t>3磋商及最终响应文件</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磋商小组所有成员应当集中与单一供应商分别进行磋商，并给予所有参加磋商的供应商平等的磋商机会。</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在磋商过程中，磋商小组可以根据磋商文件和磋商情况实质性变动采购需求中的技术、服务要求以及合同草案条款，但不得变动磋商文件中的其他内容。实质性变动的内容，须经采购人代表确认。</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对磋商文件作出的实质性变动是磋商文件的有效组成部分，磋商小组应当及时以书面形式同时通知所有参加磋商的供应商。</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最终响应文件应以密封形式递交，并在文件封面明显处注明项目编号、项目名称及供应商名称(加盖单位公章或授权人签字)。</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采购人将拒绝接收提交最终响应文件截止时间后送达的最终响应文件，在提交最终响应文件截止时间之后，供应商不得补充、修改、撤回最终响应文件。</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 xml:space="preserve"> 经磋商确定最终采购需求的供应商后，由磋商小组采用综合评分法最后对供应商的响应文件进行综合评分。</w:t>
      </w:r>
    </w:p>
    <w:p>
      <w:pPr>
        <w:pStyle w:val="8"/>
        <w:spacing w:after="0" w:line="440" w:lineRule="exact"/>
        <w:ind w:firstLine="480" w:firstLineChars="200"/>
        <w:rPr>
          <w:color w:val="auto"/>
          <w:kern w:val="2"/>
          <w:sz w:val="24"/>
          <w:highlight w:val="none"/>
        </w:rPr>
      </w:pPr>
      <w:r>
        <w:rPr>
          <w:rFonts w:hint="eastAsia"/>
          <w:color w:val="auto"/>
          <w:kern w:val="2"/>
          <w:sz w:val="24"/>
          <w:highlight w:val="none"/>
        </w:rPr>
        <w:t>6.3.4  详细评审</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（1）综合评分法，是指响应文件满足磋商文件全部实质性要求且按评审因素的量化指标评审得分最高的供应商为成交候选供应商的评审方法。具体评审办法详见“评分标准”。</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（2）磋商小组应当根据综合评分情况，按照评审得分由高到低顺序推荐3名</w:t>
      </w:r>
      <w:r>
        <w:rPr>
          <w:rFonts w:hint="eastAsia"/>
          <w:color w:val="auto"/>
          <w:sz w:val="24"/>
          <w:highlight w:val="none"/>
        </w:rPr>
        <w:t>成交</w:t>
      </w:r>
      <w:r>
        <w:rPr>
          <w:rFonts w:hint="eastAsia" w:ascii="宋体" w:hAnsi="宋体"/>
          <w:color w:val="auto"/>
          <w:sz w:val="24"/>
          <w:highlight w:val="none"/>
        </w:rPr>
        <w:t>候选供应商，并编写评审报告。</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（3）评审得分相同的，按照技术指标优劣顺序推荐。</w:t>
      </w:r>
    </w:p>
    <w:p>
      <w:pPr>
        <w:spacing w:line="440" w:lineRule="exact"/>
        <w:ind w:firstLine="360" w:firstLineChars="150"/>
        <w:jc w:val="left"/>
        <w:rPr>
          <w:rFonts w:ascii="宋体" w:hAnsi="宋体" w:cs="宋体"/>
          <w:color w:val="auto"/>
          <w:kern w:val="0"/>
          <w:sz w:val="24"/>
          <w:highlight w:val="none"/>
        </w:rPr>
      </w:pPr>
      <w:r>
        <w:rPr>
          <w:rFonts w:hint="eastAsia" w:ascii="宋体"/>
          <w:color w:val="auto"/>
          <w:sz w:val="24"/>
          <w:highlight w:val="none"/>
        </w:rPr>
        <w:t>6.3.5</w:t>
      </w:r>
      <w:r>
        <w:rPr>
          <w:rFonts w:hint="eastAsia" w:ascii="宋体" w:hAnsi="宋体" w:cs="宋体"/>
          <w:color w:val="auto"/>
          <w:kern w:val="0"/>
          <w:sz w:val="24"/>
          <w:highlight w:val="none"/>
        </w:rPr>
        <w:t>磋商小组完成评审后，应当提出书面评审报告。评审报告应当包括：</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（1）供应商参加采购活动的具体方式和相关情况；</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（2）响应文件开启日期和地点；</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（3）获取磋商文件的供应商名单和磋商小组成员名单；</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（4）评审情况记录和说明，包括对供应商的资格审查情况、供应商响应文件评审情况、磋商情况、报价情况等；</w:t>
      </w:r>
    </w:p>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（5）提出的成交候选供应商的排序名单及理由。</w:t>
      </w:r>
    </w:p>
    <w:p>
      <w:pPr>
        <w:pStyle w:val="9"/>
        <w:spacing w:line="440" w:lineRule="exact"/>
        <w:ind w:left="0" w:leftChars="0" w:firstLine="480" w:firstLineChars="200"/>
        <w:jc w:val="left"/>
        <w:rPr>
          <w:rFonts w:ascii="宋体" w:hAnsi="宋体" w:cs="宋体"/>
          <w:color w:val="auto"/>
          <w:kern w:val="0"/>
          <w:sz w:val="24"/>
          <w:highlight w:val="none"/>
        </w:rPr>
      </w:pPr>
      <w:r>
        <w:rPr>
          <w:rFonts w:hint="eastAsia" w:ascii="宋体" w:hAnsi="宋体"/>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snapToGrid w:val="0"/>
          <w:color w:val="auto"/>
          <w:kern w:val="0"/>
          <w:sz w:val="24"/>
          <w:highlight w:val="none"/>
        </w:rPr>
        <w:t>磋商小组向采购人提交书面评审报告后，磋商小组即告解散。评审过程中使用的文件、表格以及其它资料应当立即交采购代理机构</w:t>
      </w:r>
      <w:r>
        <w:rPr>
          <w:rFonts w:hint="eastAsia" w:ascii="宋体" w:hAnsi="宋体" w:cs="宋体"/>
          <w:color w:val="auto"/>
          <w:kern w:val="0"/>
          <w:sz w:val="24"/>
          <w:highlight w:val="none"/>
        </w:rPr>
        <w:t>。</w:t>
      </w:r>
    </w:p>
    <w:p>
      <w:pPr>
        <w:pStyle w:val="8"/>
        <w:spacing w:after="0" w:line="440" w:lineRule="exact"/>
        <w:ind w:firstLine="482" w:firstLineChars="200"/>
        <w:textAlignment w:val="baseline"/>
        <w:rPr>
          <w:rFonts w:cs="宋体"/>
          <w:b/>
          <w:color w:val="auto"/>
          <w:sz w:val="24"/>
          <w:highlight w:val="none"/>
        </w:rPr>
      </w:pPr>
      <w:r>
        <w:rPr>
          <w:rFonts w:hint="eastAsia" w:cs="宋体"/>
          <w:b/>
          <w:color w:val="auto"/>
          <w:sz w:val="24"/>
          <w:highlight w:val="none"/>
        </w:rPr>
        <w:t>6.4特殊情况下的评审方法</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6.4.1关于磋商活动暂停</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磋商小组应当执行连续磋商的原则，按磋商办法中规定的程序、内容、方法、标准完成全部磋商工作。只有发生不可抗力导致磋商工作无法继续时，磋商活动方可暂停。</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发生磋商暂停情况时，磋商小组应当封存全部响应文件和磋商记录，待不可抗力的影响结束且具备继续磋商的条件时，由原磋商小组继续磋商。</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6.4.2关于磋商中途更换评委</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除非发生下列情况之一，磋商小组成员不得在磋商中途更换：</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（1）因不可抗拒的客观原因，不能到场或需在磋商中途退出磋商活动。</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（2）根据法律法规规定，某个或某几个磋商小组成员需要回避。</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退出磋商的磋商小组成员，其已完成的磋商行为无效。由采购人根据本磋商文件规定的磋商小组成员产生方式另行确定替代者进行磋商。</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6.4.3关于记名投票表决评审结论</w:t>
      </w:r>
    </w:p>
    <w:p>
      <w:pPr>
        <w:shd w:val="clear" w:color="auto" w:fill="FFFFFF"/>
        <w:spacing w:line="440" w:lineRule="exact"/>
        <w:ind w:firstLine="480" w:firstLineChars="200"/>
        <w:jc w:val="left"/>
        <w:rPr>
          <w:color w:val="auto"/>
          <w:sz w:val="24"/>
          <w:highlight w:val="none"/>
        </w:rPr>
      </w:pPr>
      <w:r>
        <w:rPr>
          <w:rFonts w:hint="eastAsia"/>
          <w:color w:val="auto"/>
          <w:sz w:val="24"/>
          <w:highlight w:val="none"/>
        </w:rPr>
        <w:t>在任何磋商环节中，需磋商小组就某项定性的评审结论做出表决的，由磋商小组全体成员按照少数服从多数的原则，以记名投票方式表决。</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6.4.4如出现供应商达不到法定数量、串通报价、全部不符合磋商文件要求以及供应商互相诋毁，导致磋商小组无法评审时，磋商小组有权否决所有报价停止评审。采购人依法重新组织采购。</w:t>
      </w:r>
    </w:p>
    <w:p>
      <w:pPr>
        <w:pStyle w:val="8"/>
        <w:spacing w:after="0" w:line="440" w:lineRule="exact"/>
        <w:ind w:firstLine="482" w:firstLineChars="200"/>
        <w:textAlignment w:val="baseline"/>
        <w:rPr>
          <w:rFonts w:cs="宋体"/>
          <w:b/>
          <w:color w:val="auto"/>
          <w:sz w:val="24"/>
          <w:highlight w:val="none"/>
        </w:rPr>
      </w:pPr>
      <w:r>
        <w:rPr>
          <w:rFonts w:hint="eastAsia" w:cs="宋体"/>
          <w:b/>
          <w:color w:val="auto"/>
          <w:sz w:val="24"/>
          <w:highlight w:val="none"/>
        </w:rPr>
        <w:t>6.5无效投标</w:t>
      </w:r>
    </w:p>
    <w:p>
      <w:pPr>
        <w:pStyle w:val="8"/>
        <w:spacing w:after="0" w:line="440" w:lineRule="exact"/>
        <w:ind w:firstLine="482"/>
        <w:textAlignment w:val="baseline"/>
        <w:rPr>
          <w:color w:val="auto"/>
          <w:sz w:val="24"/>
          <w:highlight w:val="none"/>
        </w:rPr>
      </w:pPr>
      <w:r>
        <w:rPr>
          <w:rFonts w:hint="eastAsia"/>
          <w:color w:val="auto"/>
          <w:sz w:val="24"/>
          <w:highlight w:val="none"/>
        </w:rPr>
        <w:t>6.5.1有下列情形之一的，应当按照无效投标处理：</w:t>
      </w:r>
    </w:p>
    <w:p>
      <w:pPr>
        <w:pStyle w:val="8"/>
        <w:spacing w:after="0" w:line="440" w:lineRule="exact"/>
        <w:ind w:firstLine="482"/>
        <w:textAlignment w:val="baseline"/>
        <w:rPr>
          <w:color w:val="auto"/>
          <w:sz w:val="24"/>
          <w:highlight w:val="none"/>
        </w:rPr>
      </w:pPr>
      <w:r>
        <w:rPr>
          <w:rFonts w:hint="eastAsia"/>
          <w:color w:val="auto"/>
          <w:sz w:val="24"/>
          <w:highlight w:val="none"/>
        </w:rPr>
        <w:t>(一)在规定的递交响应文件截止时间之后递交的；</w:t>
      </w:r>
    </w:p>
    <w:p>
      <w:pPr>
        <w:pStyle w:val="8"/>
        <w:spacing w:after="0" w:line="440" w:lineRule="exact"/>
        <w:ind w:firstLine="482"/>
        <w:textAlignment w:val="baseline"/>
        <w:rPr>
          <w:color w:val="auto"/>
          <w:sz w:val="24"/>
          <w:highlight w:val="none"/>
        </w:rPr>
      </w:pPr>
      <w:r>
        <w:rPr>
          <w:rFonts w:hint="eastAsia"/>
          <w:color w:val="auto"/>
          <w:sz w:val="24"/>
          <w:highlight w:val="none"/>
        </w:rPr>
        <w:t>(二)未按磋商文件规定要求密封、签署、盖章的；</w:t>
      </w:r>
    </w:p>
    <w:p>
      <w:pPr>
        <w:pStyle w:val="8"/>
        <w:spacing w:after="0" w:line="440" w:lineRule="exact"/>
        <w:ind w:firstLine="482"/>
        <w:textAlignment w:val="baseline"/>
        <w:rPr>
          <w:color w:val="auto"/>
          <w:sz w:val="24"/>
          <w:highlight w:val="none"/>
        </w:rPr>
      </w:pPr>
      <w:r>
        <w:rPr>
          <w:rFonts w:hint="eastAsia"/>
          <w:color w:val="auto"/>
          <w:sz w:val="24"/>
          <w:highlight w:val="none"/>
        </w:rPr>
        <w:t>(三)未按磋商文件规定交纳保证金的；</w:t>
      </w:r>
    </w:p>
    <w:p>
      <w:pPr>
        <w:pStyle w:val="8"/>
        <w:spacing w:after="0" w:line="440" w:lineRule="exact"/>
        <w:ind w:firstLine="482"/>
        <w:textAlignment w:val="baseline"/>
        <w:rPr>
          <w:color w:val="auto"/>
          <w:sz w:val="24"/>
          <w:highlight w:val="none"/>
        </w:rPr>
      </w:pPr>
      <w:r>
        <w:rPr>
          <w:rFonts w:hint="eastAsia"/>
          <w:color w:val="auto"/>
          <w:sz w:val="24"/>
          <w:highlight w:val="none"/>
        </w:rPr>
        <w:t>(四)不具备磋商文件中规定的资格要求的；</w:t>
      </w:r>
    </w:p>
    <w:p>
      <w:pPr>
        <w:pStyle w:val="8"/>
        <w:spacing w:after="0" w:line="440" w:lineRule="exact"/>
        <w:ind w:firstLine="482"/>
        <w:textAlignment w:val="baseline"/>
        <w:rPr>
          <w:color w:val="auto"/>
          <w:sz w:val="24"/>
          <w:highlight w:val="none"/>
        </w:rPr>
      </w:pPr>
      <w:r>
        <w:rPr>
          <w:rFonts w:hint="eastAsia"/>
          <w:color w:val="auto"/>
          <w:sz w:val="24"/>
          <w:highlight w:val="none"/>
        </w:rPr>
        <w:t>(五)未经财政部门核准，提供进口产品的（无）；</w:t>
      </w:r>
    </w:p>
    <w:p>
      <w:pPr>
        <w:pStyle w:val="8"/>
        <w:spacing w:after="0" w:line="440" w:lineRule="exact"/>
        <w:ind w:firstLine="482"/>
        <w:textAlignment w:val="baseline"/>
        <w:rPr>
          <w:color w:val="auto"/>
          <w:sz w:val="24"/>
          <w:highlight w:val="none"/>
        </w:rPr>
      </w:pPr>
      <w:r>
        <w:rPr>
          <w:rFonts w:hint="eastAsia"/>
          <w:color w:val="auto"/>
          <w:sz w:val="24"/>
          <w:highlight w:val="none"/>
        </w:rPr>
        <w:t>(六)未全部响应磋商文件规定的实质性要求的；</w:t>
      </w:r>
    </w:p>
    <w:p>
      <w:pPr>
        <w:pStyle w:val="8"/>
        <w:spacing w:after="0" w:line="440" w:lineRule="exact"/>
        <w:ind w:firstLine="482"/>
        <w:textAlignment w:val="baseline"/>
        <w:rPr>
          <w:color w:val="auto"/>
          <w:sz w:val="24"/>
          <w:highlight w:val="none"/>
        </w:rPr>
      </w:pPr>
      <w:r>
        <w:rPr>
          <w:rFonts w:hint="eastAsia"/>
          <w:color w:val="auto"/>
          <w:sz w:val="24"/>
          <w:highlight w:val="none"/>
        </w:rPr>
        <w:t>(七)法定代表人或授权代表不参加开标仪式；</w:t>
      </w:r>
    </w:p>
    <w:p>
      <w:pPr>
        <w:pStyle w:val="8"/>
        <w:spacing w:after="0" w:line="440" w:lineRule="exact"/>
        <w:ind w:firstLine="482"/>
        <w:textAlignment w:val="baseline"/>
        <w:rPr>
          <w:color w:val="auto"/>
          <w:sz w:val="24"/>
          <w:highlight w:val="none"/>
        </w:rPr>
      </w:pPr>
      <w:r>
        <w:rPr>
          <w:rFonts w:hint="eastAsia"/>
          <w:color w:val="auto"/>
          <w:sz w:val="24"/>
          <w:highlight w:val="none"/>
        </w:rPr>
        <w:t>(八)不符合法律、法规规定的其他情形。</w:t>
      </w:r>
    </w:p>
    <w:p>
      <w:pPr>
        <w:pStyle w:val="8"/>
        <w:spacing w:after="0" w:line="440" w:lineRule="exact"/>
        <w:ind w:firstLine="482"/>
        <w:textAlignment w:val="baseline"/>
        <w:rPr>
          <w:color w:val="auto"/>
          <w:sz w:val="24"/>
          <w:highlight w:val="none"/>
        </w:rPr>
      </w:pPr>
      <w:r>
        <w:rPr>
          <w:rFonts w:hint="eastAsia"/>
          <w:color w:val="auto"/>
          <w:sz w:val="24"/>
          <w:highlight w:val="none"/>
        </w:rPr>
        <w:t>6.5.2有下列情形之一的，也按照无效报价处理，其保证金不予退还：</w:t>
      </w:r>
    </w:p>
    <w:p>
      <w:pPr>
        <w:pStyle w:val="8"/>
        <w:spacing w:after="0" w:line="440" w:lineRule="exact"/>
        <w:ind w:firstLine="482"/>
        <w:textAlignment w:val="baseline"/>
        <w:rPr>
          <w:color w:val="auto"/>
          <w:sz w:val="24"/>
          <w:highlight w:val="none"/>
        </w:rPr>
      </w:pPr>
      <w:r>
        <w:rPr>
          <w:rFonts w:hint="eastAsia"/>
          <w:color w:val="auto"/>
          <w:sz w:val="24"/>
          <w:highlight w:val="none"/>
        </w:rPr>
        <w:t>（一）供应商在递交响应文件截止时间后撤回响应文件的；</w:t>
      </w:r>
    </w:p>
    <w:p>
      <w:pPr>
        <w:pStyle w:val="8"/>
        <w:spacing w:after="0" w:line="440" w:lineRule="exact"/>
        <w:ind w:firstLine="482"/>
        <w:textAlignment w:val="baseline"/>
        <w:rPr>
          <w:color w:val="auto"/>
          <w:sz w:val="24"/>
          <w:highlight w:val="none"/>
        </w:rPr>
      </w:pPr>
      <w:r>
        <w:rPr>
          <w:rFonts w:hint="eastAsia"/>
          <w:color w:val="auto"/>
          <w:sz w:val="24"/>
          <w:highlight w:val="none"/>
        </w:rPr>
        <w:t>（二）供应商在响应文件中提供虚假材料的；</w:t>
      </w:r>
    </w:p>
    <w:p>
      <w:pPr>
        <w:pStyle w:val="8"/>
        <w:spacing w:after="0" w:line="440" w:lineRule="exact"/>
        <w:ind w:firstLine="482"/>
        <w:textAlignment w:val="baseline"/>
        <w:rPr>
          <w:color w:val="auto"/>
          <w:sz w:val="24"/>
          <w:highlight w:val="none"/>
        </w:rPr>
      </w:pPr>
      <w:r>
        <w:rPr>
          <w:rFonts w:hint="eastAsia"/>
          <w:color w:val="auto"/>
          <w:sz w:val="24"/>
          <w:highlight w:val="none"/>
        </w:rPr>
        <w:t>（三）除因不可抗力或磋商文件认可的情形以外，成交供应商不与采购人签订合同的；</w:t>
      </w:r>
    </w:p>
    <w:p>
      <w:pPr>
        <w:pStyle w:val="8"/>
        <w:spacing w:after="0" w:line="440" w:lineRule="exact"/>
        <w:ind w:firstLine="482"/>
        <w:textAlignment w:val="baseline"/>
        <w:rPr>
          <w:color w:val="auto"/>
          <w:sz w:val="24"/>
          <w:highlight w:val="none"/>
        </w:rPr>
      </w:pPr>
      <w:r>
        <w:rPr>
          <w:rFonts w:hint="eastAsia"/>
          <w:color w:val="auto"/>
          <w:sz w:val="24"/>
          <w:highlight w:val="none"/>
        </w:rPr>
        <w:t>（四）供应商与采购人、其他供应商或者采购代理机构恶意串通的；</w:t>
      </w:r>
    </w:p>
    <w:p>
      <w:pPr>
        <w:pStyle w:val="8"/>
        <w:spacing w:after="0" w:line="440" w:lineRule="exact"/>
        <w:ind w:firstLine="482"/>
        <w:textAlignment w:val="baseline"/>
        <w:rPr>
          <w:color w:val="auto"/>
          <w:sz w:val="24"/>
          <w:highlight w:val="none"/>
        </w:rPr>
      </w:pPr>
      <w:r>
        <w:rPr>
          <w:rFonts w:hint="eastAsia"/>
          <w:color w:val="auto"/>
          <w:sz w:val="24"/>
          <w:highlight w:val="none"/>
        </w:rPr>
        <w:t>（五）磋商文件规定的其他情形。</w:t>
      </w:r>
    </w:p>
    <w:p>
      <w:pPr>
        <w:pStyle w:val="8"/>
        <w:spacing w:after="0" w:line="440" w:lineRule="exact"/>
        <w:ind w:firstLine="482"/>
        <w:textAlignment w:val="baseline"/>
        <w:rPr>
          <w:color w:val="auto"/>
          <w:sz w:val="24"/>
          <w:highlight w:val="none"/>
        </w:rPr>
      </w:pPr>
      <w:r>
        <w:rPr>
          <w:rFonts w:hint="eastAsia"/>
          <w:color w:val="auto"/>
          <w:sz w:val="24"/>
          <w:highlight w:val="none"/>
        </w:rPr>
        <w:t>6.5.3供应商有下列情形之一，其报价将被视为无效报价，构成犯罪的，依法追究刑事责任：</w:t>
      </w:r>
    </w:p>
    <w:p>
      <w:pPr>
        <w:pStyle w:val="8"/>
        <w:spacing w:after="0" w:line="440" w:lineRule="exact"/>
        <w:ind w:firstLine="482"/>
        <w:textAlignment w:val="baseline"/>
        <w:rPr>
          <w:color w:val="auto"/>
          <w:sz w:val="24"/>
          <w:highlight w:val="none"/>
        </w:rPr>
      </w:pPr>
      <w:r>
        <w:rPr>
          <w:rFonts w:hint="eastAsia"/>
          <w:color w:val="auto"/>
          <w:sz w:val="24"/>
          <w:highlight w:val="none"/>
        </w:rPr>
        <w:t xml:space="preserve"> (一)在采购活动中有恶意串通行为的；</w:t>
      </w:r>
    </w:p>
    <w:p>
      <w:pPr>
        <w:pStyle w:val="8"/>
        <w:spacing w:after="0" w:line="440" w:lineRule="exact"/>
        <w:ind w:firstLine="482"/>
        <w:textAlignment w:val="baseline"/>
        <w:rPr>
          <w:color w:val="auto"/>
          <w:sz w:val="24"/>
          <w:highlight w:val="none"/>
        </w:rPr>
      </w:pPr>
      <w:r>
        <w:rPr>
          <w:rFonts w:hint="eastAsia"/>
          <w:color w:val="auto"/>
          <w:sz w:val="24"/>
          <w:highlight w:val="none"/>
        </w:rPr>
        <w:t xml:space="preserve"> (二)成交后无正当理由不在磋商文件规定时间内与采购人签订合同的；</w:t>
      </w:r>
    </w:p>
    <w:p>
      <w:pPr>
        <w:pStyle w:val="8"/>
        <w:spacing w:after="0" w:line="440" w:lineRule="exact"/>
        <w:ind w:firstLine="482"/>
        <w:textAlignment w:val="baseline"/>
        <w:rPr>
          <w:color w:val="auto"/>
          <w:sz w:val="24"/>
          <w:highlight w:val="none"/>
        </w:rPr>
      </w:pPr>
      <w:r>
        <w:rPr>
          <w:rFonts w:hint="eastAsia"/>
          <w:color w:val="auto"/>
          <w:sz w:val="24"/>
          <w:highlight w:val="none"/>
        </w:rPr>
        <w:t xml:space="preserve"> (三)捏造事实进行虚假投诉的；</w:t>
      </w:r>
    </w:p>
    <w:p>
      <w:pPr>
        <w:pStyle w:val="8"/>
        <w:spacing w:after="0" w:line="440" w:lineRule="exact"/>
        <w:ind w:firstLine="482"/>
        <w:textAlignment w:val="baseline"/>
        <w:rPr>
          <w:color w:val="auto"/>
          <w:sz w:val="24"/>
          <w:highlight w:val="none"/>
        </w:rPr>
      </w:pPr>
      <w:r>
        <w:rPr>
          <w:rFonts w:hint="eastAsia"/>
          <w:color w:val="auto"/>
          <w:sz w:val="24"/>
          <w:highlight w:val="none"/>
        </w:rPr>
        <w:t xml:space="preserve"> (四)拒绝配合财政部门处理投诉、举报事项的；</w:t>
      </w:r>
    </w:p>
    <w:p>
      <w:pPr>
        <w:pStyle w:val="8"/>
        <w:spacing w:after="0" w:line="440" w:lineRule="exact"/>
        <w:ind w:firstLine="482"/>
        <w:textAlignment w:val="baseline"/>
        <w:rPr>
          <w:color w:val="auto"/>
          <w:sz w:val="24"/>
          <w:highlight w:val="none"/>
        </w:rPr>
      </w:pPr>
      <w:r>
        <w:rPr>
          <w:rFonts w:hint="eastAsia"/>
          <w:color w:val="auto"/>
          <w:sz w:val="24"/>
          <w:highlight w:val="none"/>
        </w:rPr>
        <w:t>（五）拒绝履行合同义务的；</w:t>
      </w:r>
    </w:p>
    <w:p>
      <w:pPr>
        <w:pStyle w:val="8"/>
        <w:spacing w:after="0" w:line="440" w:lineRule="exact"/>
        <w:ind w:firstLine="482"/>
        <w:textAlignment w:val="baseline"/>
        <w:rPr>
          <w:color w:val="auto"/>
          <w:sz w:val="24"/>
          <w:highlight w:val="none"/>
        </w:rPr>
      </w:pPr>
      <w:r>
        <w:rPr>
          <w:rFonts w:hint="eastAsia"/>
          <w:color w:val="auto"/>
          <w:sz w:val="24"/>
          <w:highlight w:val="none"/>
        </w:rPr>
        <w:t>（六）未按照磋商文件确定的事项签订政府采购合同，或者与采购人另行订立背离合同实质性内容的协议的；</w:t>
      </w:r>
    </w:p>
    <w:p>
      <w:pPr>
        <w:pStyle w:val="8"/>
        <w:spacing w:after="0" w:line="440" w:lineRule="exact"/>
        <w:ind w:firstLine="482"/>
        <w:textAlignment w:val="baseline"/>
        <w:rPr>
          <w:color w:val="auto"/>
          <w:sz w:val="24"/>
          <w:highlight w:val="none"/>
        </w:rPr>
      </w:pPr>
      <w:r>
        <w:rPr>
          <w:rFonts w:hint="eastAsia"/>
          <w:color w:val="auto"/>
          <w:sz w:val="24"/>
          <w:highlight w:val="none"/>
        </w:rPr>
        <w:t xml:space="preserve"> (七)违反法律、法规规定的其他行为。</w:t>
      </w:r>
    </w:p>
    <w:p>
      <w:pPr>
        <w:pStyle w:val="8"/>
        <w:spacing w:after="0" w:line="440" w:lineRule="exact"/>
        <w:ind w:firstLine="482"/>
        <w:textAlignment w:val="baseline"/>
        <w:rPr>
          <w:color w:val="auto"/>
          <w:sz w:val="24"/>
          <w:highlight w:val="none"/>
        </w:rPr>
      </w:pPr>
      <w:r>
        <w:rPr>
          <w:rFonts w:hint="eastAsia"/>
          <w:color w:val="auto"/>
          <w:sz w:val="24"/>
          <w:highlight w:val="none"/>
        </w:rPr>
        <w:t>6.5.4有下列情形之一的，视为串通投标，作废标处理：</w:t>
      </w:r>
    </w:p>
    <w:p>
      <w:pPr>
        <w:pStyle w:val="8"/>
        <w:spacing w:after="0" w:line="440" w:lineRule="exact"/>
        <w:ind w:firstLine="482"/>
        <w:textAlignment w:val="baseline"/>
        <w:rPr>
          <w:color w:val="auto"/>
          <w:sz w:val="24"/>
          <w:highlight w:val="none"/>
        </w:rPr>
      </w:pPr>
      <w:r>
        <w:rPr>
          <w:rFonts w:hint="eastAsia"/>
          <w:color w:val="auto"/>
          <w:sz w:val="24"/>
          <w:highlight w:val="none"/>
        </w:rPr>
        <w:t>①不同供应商的响应文件由同一单位或者个人编制；</w:t>
      </w:r>
    </w:p>
    <w:p>
      <w:pPr>
        <w:pStyle w:val="8"/>
        <w:spacing w:after="0" w:line="440" w:lineRule="exact"/>
        <w:ind w:firstLine="482"/>
        <w:textAlignment w:val="baseline"/>
        <w:rPr>
          <w:color w:val="auto"/>
          <w:sz w:val="24"/>
          <w:highlight w:val="none"/>
        </w:rPr>
      </w:pPr>
      <w:r>
        <w:rPr>
          <w:rFonts w:hint="eastAsia"/>
          <w:color w:val="auto"/>
          <w:sz w:val="24"/>
          <w:highlight w:val="none"/>
        </w:rPr>
        <w:t>②不同供应商委托同一单位或者个人办理投标事宜；</w:t>
      </w:r>
    </w:p>
    <w:p>
      <w:pPr>
        <w:pStyle w:val="8"/>
        <w:spacing w:after="0" w:line="440" w:lineRule="exact"/>
        <w:ind w:firstLine="482"/>
        <w:textAlignment w:val="baseline"/>
        <w:rPr>
          <w:color w:val="auto"/>
          <w:sz w:val="24"/>
          <w:highlight w:val="none"/>
        </w:rPr>
      </w:pPr>
      <w:r>
        <w:rPr>
          <w:rFonts w:hint="eastAsia"/>
          <w:color w:val="auto"/>
          <w:sz w:val="24"/>
          <w:highlight w:val="none"/>
        </w:rPr>
        <w:t>③不同供应商的响应文件载明的项目管理成员为同一人；</w:t>
      </w:r>
    </w:p>
    <w:p>
      <w:pPr>
        <w:pStyle w:val="8"/>
        <w:spacing w:after="0" w:line="440" w:lineRule="exact"/>
        <w:ind w:firstLine="482"/>
        <w:textAlignment w:val="baseline"/>
        <w:rPr>
          <w:color w:val="auto"/>
          <w:sz w:val="24"/>
          <w:highlight w:val="none"/>
        </w:rPr>
      </w:pPr>
      <w:r>
        <w:rPr>
          <w:rFonts w:hint="eastAsia"/>
          <w:color w:val="auto"/>
          <w:sz w:val="24"/>
          <w:highlight w:val="none"/>
        </w:rPr>
        <w:t>④不同供应商的响应文件异常一致或者投标呈规律性差异；</w:t>
      </w:r>
    </w:p>
    <w:p>
      <w:pPr>
        <w:pStyle w:val="8"/>
        <w:spacing w:after="0" w:line="440" w:lineRule="exact"/>
        <w:ind w:firstLine="482"/>
        <w:textAlignment w:val="baseline"/>
        <w:rPr>
          <w:color w:val="auto"/>
          <w:sz w:val="24"/>
          <w:highlight w:val="none"/>
        </w:rPr>
      </w:pPr>
      <w:r>
        <w:rPr>
          <w:rFonts w:hint="eastAsia"/>
          <w:color w:val="auto"/>
          <w:sz w:val="24"/>
          <w:highlight w:val="none"/>
        </w:rPr>
        <w:t>⑤不同供应商的响应文件相互混装；</w:t>
      </w:r>
    </w:p>
    <w:p>
      <w:pPr>
        <w:pStyle w:val="8"/>
        <w:spacing w:after="0" w:line="440" w:lineRule="exact"/>
        <w:ind w:firstLine="482"/>
        <w:textAlignment w:val="baseline"/>
        <w:rPr>
          <w:color w:val="auto"/>
          <w:sz w:val="24"/>
          <w:highlight w:val="none"/>
        </w:rPr>
      </w:pPr>
      <w:r>
        <w:rPr>
          <w:rFonts w:hint="eastAsia"/>
          <w:color w:val="auto"/>
          <w:sz w:val="24"/>
          <w:highlight w:val="none"/>
        </w:rPr>
        <w:t>⑥法律法规文件规定的其他情形。</w:t>
      </w:r>
    </w:p>
    <w:p>
      <w:pPr>
        <w:pStyle w:val="8"/>
        <w:spacing w:after="0" w:line="440" w:lineRule="exact"/>
        <w:ind w:firstLine="482" w:firstLineChars="200"/>
        <w:textAlignment w:val="baseline"/>
        <w:rPr>
          <w:rFonts w:cs="宋体"/>
          <w:b/>
          <w:color w:val="auto"/>
          <w:sz w:val="24"/>
          <w:highlight w:val="none"/>
        </w:rPr>
      </w:pPr>
      <w:r>
        <w:rPr>
          <w:rFonts w:hint="eastAsia" w:cs="宋体"/>
          <w:b/>
          <w:color w:val="auto"/>
          <w:sz w:val="24"/>
          <w:highlight w:val="none"/>
        </w:rPr>
        <w:t>6.6废除本次采购项目</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6.6.1采购项目出现下列情形之一的，采购人将予以废除本次采购项目：</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（1）出现影响采购公正的违法、违规行为的；</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（2）因重大变故，采购任务取消的。</w:t>
      </w:r>
    </w:p>
    <w:p>
      <w:pPr>
        <w:pStyle w:val="8"/>
        <w:spacing w:after="0" w:line="440" w:lineRule="exact"/>
        <w:ind w:firstLine="480"/>
        <w:textAlignment w:val="baseline"/>
        <w:rPr>
          <w:rFonts w:cs="宋体"/>
          <w:color w:val="auto"/>
          <w:sz w:val="24"/>
          <w:highlight w:val="none"/>
        </w:rPr>
      </w:pPr>
      <w:r>
        <w:rPr>
          <w:rFonts w:hint="eastAsia" w:cs="宋体"/>
          <w:color w:val="auto"/>
          <w:sz w:val="24"/>
          <w:highlight w:val="none"/>
        </w:rPr>
        <w:t>6.6.2 废除本次采购项目后，采购人将把废除本次采购项目理由通知所有供应商。</w:t>
      </w:r>
    </w:p>
    <w:p>
      <w:pPr>
        <w:pStyle w:val="8"/>
        <w:spacing w:after="0" w:line="440" w:lineRule="exact"/>
        <w:ind w:firstLine="480"/>
        <w:textAlignment w:val="baseline"/>
        <w:rPr>
          <w:rFonts w:cs="宋体"/>
          <w:color w:val="auto"/>
          <w:sz w:val="24"/>
          <w:highlight w:val="none"/>
        </w:rPr>
      </w:pPr>
      <w:r>
        <w:rPr>
          <w:rFonts w:hint="eastAsia" w:cs="宋体"/>
          <w:color w:val="auto"/>
          <w:sz w:val="24"/>
          <w:highlight w:val="none"/>
        </w:rPr>
        <w:t>6.6.3出现下列情形之一的，采购人或者采购代理机构应当终止竞争性磋商采购活动，发布项目终止公告并说明原因，重新开展采购活动：</w:t>
      </w:r>
    </w:p>
    <w:p>
      <w:pPr>
        <w:pStyle w:val="8"/>
        <w:spacing w:after="0" w:line="440" w:lineRule="exact"/>
        <w:ind w:firstLine="480"/>
        <w:textAlignment w:val="baseline"/>
        <w:rPr>
          <w:rFonts w:cs="宋体"/>
          <w:color w:val="auto"/>
          <w:sz w:val="24"/>
          <w:highlight w:val="none"/>
        </w:rPr>
      </w:pPr>
      <w:r>
        <w:rPr>
          <w:rFonts w:hint="eastAsia" w:cs="宋体"/>
          <w:color w:val="auto"/>
          <w:sz w:val="24"/>
          <w:highlight w:val="none"/>
        </w:rPr>
        <w:t>（1）因情况变化，不再符合规定的竞争性磋商采购方式适用情形的；</w:t>
      </w:r>
    </w:p>
    <w:p>
      <w:pPr>
        <w:pStyle w:val="8"/>
        <w:spacing w:after="0" w:line="440" w:lineRule="exact"/>
        <w:ind w:firstLine="480"/>
        <w:textAlignment w:val="baseline"/>
        <w:rPr>
          <w:rFonts w:cs="宋体"/>
          <w:color w:val="auto"/>
          <w:sz w:val="24"/>
          <w:highlight w:val="none"/>
        </w:rPr>
      </w:pPr>
      <w:r>
        <w:rPr>
          <w:rFonts w:hint="eastAsia" w:cs="宋体"/>
          <w:color w:val="auto"/>
          <w:sz w:val="24"/>
          <w:highlight w:val="none"/>
        </w:rPr>
        <w:t>（2）出现影响采购公正的违法、违规行为的；</w:t>
      </w:r>
    </w:p>
    <w:p>
      <w:pPr>
        <w:pStyle w:val="8"/>
        <w:spacing w:after="0" w:line="440" w:lineRule="exact"/>
        <w:ind w:firstLine="480"/>
        <w:textAlignment w:val="baseline"/>
        <w:rPr>
          <w:rFonts w:cs="宋体"/>
          <w:color w:val="auto"/>
          <w:sz w:val="24"/>
          <w:highlight w:val="none"/>
        </w:rPr>
      </w:pPr>
      <w:r>
        <w:rPr>
          <w:rFonts w:hint="eastAsia" w:cs="宋体"/>
          <w:color w:val="auto"/>
          <w:sz w:val="24"/>
          <w:highlight w:val="none"/>
        </w:rPr>
        <w:t>（3）除《政府采购竞争性磋商采购方式管理暂行办法》第二十一条第三款规定的情形外，在采购过程中符合要求的供应商或者开标未超过采购预算的供应商不足3家的。</w:t>
      </w:r>
    </w:p>
    <w:p>
      <w:pPr>
        <w:spacing w:line="440" w:lineRule="exact"/>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成交、合同</w:t>
      </w:r>
    </w:p>
    <w:p>
      <w:pPr>
        <w:spacing w:line="440" w:lineRule="exact"/>
        <w:rPr>
          <w:rFonts w:ascii="宋体" w:hAnsi="宋体"/>
          <w:b/>
          <w:color w:val="auto"/>
          <w:sz w:val="24"/>
          <w:highlight w:val="none"/>
        </w:rPr>
      </w:pPr>
      <w:r>
        <w:rPr>
          <w:rFonts w:hint="eastAsia" w:ascii="宋体" w:hAnsi="宋体"/>
          <w:b/>
          <w:color w:val="auto"/>
          <w:sz w:val="24"/>
          <w:highlight w:val="none"/>
        </w:rPr>
        <w:t>7.1确定成交供应商</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磋商小组应当根据综合评分情况，按照评审得分由高到低顺序推荐3名成交候选供应商，并编写评审报告。</w:t>
      </w:r>
    </w:p>
    <w:p>
      <w:pPr>
        <w:pStyle w:val="8"/>
        <w:spacing w:after="0" w:line="440" w:lineRule="exact"/>
        <w:ind w:firstLine="482" w:firstLineChars="200"/>
        <w:textAlignment w:val="baseline"/>
        <w:rPr>
          <w:rFonts w:cs="宋体"/>
          <w:b/>
          <w:bCs/>
          <w:color w:val="auto"/>
          <w:sz w:val="24"/>
          <w:highlight w:val="none"/>
        </w:rPr>
      </w:pPr>
      <w:r>
        <w:rPr>
          <w:rFonts w:hint="eastAsia" w:cs="宋体"/>
          <w:b/>
          <w:bCs/>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采购代理机构应当在评审结束后2个工作日内将评审报告送采购人确认。采购人应当在收到评审报告后5个工作日内，从评审报告提出的成交候选供应商中，按照排序由高到低的原则确定排名</w:t>
      </w:r>
      <w:r>
        <w:rPr>
          <w:rFonts w:hint="eastAsia" w:cs="宋体"/>
          <w:b/>
          <w:bCs/>
          <w:color w:val="auto"/>
          <w:sz w:val="24"/>
          <w:highlight w:val="none"/>
          <w:lang w:eastAsia="zh-CN"/>
        </w:rPr>
        <w:t>第一</w:t>
      </w:r>
      <w:r>
        <w:rPr>
          <w:rFonts w:hint="eastAsia" w:cs="宋体"/>
          <w:b/>
          <w:bCs/>
          <w:color w:val="auto"/>
          <w:sz w:val="24"/>
          <w:highlight w:val="none"/>
        </w:rPr>
        <w:t>的候选人为成交供应商。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候选人为成交供应商，也可以重新组织采购。</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确定成交结果后，公示期满未有异议，采购人将以成交通知书的方式通知成交供应商其投标被接受。</w:t>
      </w:r>
    </w:p>
    <w:p>
      <w:pPr>
        <w:spacing w:line="440" w:lineRule="exact"/>
        <w:rPr>
          <w:rFonts w:ascii="宋体" w:hAnsi="宋体"/>
          <w:b/>
          <w:color w:val="auto"/>
          <w:sz w:val="24"/>
          <w:highlight w:val="none"/>
        </w:rPr>
      </w:pPr>
      <w:r>
        <w:rPr>
          <w:rFonts w:ascii="宋体" w:hAnsi="宋体"/>
          <w:b/>
          <w:color w:val="auto"/>
          <w:sz w:val="24"/>
          <w:highlight w:val="none"/>
        </w:rPr>
        <w:t>7.2</w:t>
      </w:r>
      <w:r>
        <w:rPr>
          <w:rFonts w:hint="eastAsia" w:ascii="宋体" w:hAnsi="宋体"/>
          <w:b/>
          <w:color w:val="auto"/>
          <w:sz w:val="24"/>
          <w:highlight w:val="none"/>
        </w:rPr>
        <w:t>成交通知</w:t>
      </w:r>
    </w:p>
    <w:p>
      <w:pPr>
        <w:shd w:val="clear" w:color="auto" w:fill="FFFFFF"/>
        <w:spacing w:line="440" w:lineRule="exact"/>
        <w:ind w:firstLine="480" w:firstLineChars="200"/>
        <w:rPr>
          <w:color w:val="auto"/>
          <w:sz w:val="24"/>
          <w:highlight w:val="none"/>
        </w:rPr>
      </w:pPr>
      <w:r>
        <w:rPr>
          <w:color w:val="auto"/>
          <w:sz w:val="24"/>
          <w:highlight w:val="none"/>
        </w:rPr>
        <w:t>7</w:t>
      </w:r>
      <w:r>
        <w:rPr>
          <w:rFonts w:hint="eastAsia"/>
          <w:color w:val="auto"/>
          <w:sz w:val="24"/>
          <w:highlight w:val="none"/>
        </w:rPr>
        <w:t>.2.1确定成交结果后，采购人在规定时间内发出成交通知书，并按规定公告成交结果。</w:t>
      </w:r>
    </w:p>
    <w:p>
      <w:pPr>
        <w:shd w:val="clear" w:color="auto" w:fill="FFFFFF"/>
        <w:spacing w:line="440" w:lineRule="exact"/>
        <w:ind w:firstLine="480" w:firstLineChars="200"/>
        <w:rPr>
          <w:color w:val="auto"/>
          <w:sz w:val="24"/>
          <w:highlight w:val="none"/>
        </w:rPr>
      </w:pPr>
      <w:r>
        <w:rPr>
          <w:rFonts w:hint="eastAsia"/>
          <w:color w:val="auto"/>
          <w:sz w:val="24"/>
          <w:highlight w:val="none"/>
        </w:rPr>
        <w:t>7.2.2《成交通知书》将作为合同的组成部分。成交通知书发出后，采购人改变成交结果的，或者成交供应商放弃成交的，应当依法承担法律责任。</w:t>
      </w:r>
    </w:p>
    <w:p>
      <w:pPr>
        <w:spacing w:line="440" w:lineRule="exact"/>
        <w:rPr>
          <w:rFonts w:ascii="宋体"/>
          <w:b/>
          <w:color w:val="auto"/>
          <w:sz w:val="24"/>
          <w:highlight w:val="none"/>
        </w:rPr>
      </w:pPr>
      <w:bookmarkStart w:id="83" w:name="_Toc312072267"/>
      <w:r>
        <w:rPr>
          <w:rFonts w:ascii="宋体" w:hAnsi="宋体"/>
          <w:b/>
          <w:color w:val="auto"/>
          <w:sz w:val="24"/>
          <w:highlight w:val="none"/>
        </w:rPr>
        <w:t xml:space="preserve">7.3 </w:t>
      </w:r>
      <w:r>
        <w:rPr>
          <w:rFonts w:hint="eastAsia" w:ascii="宋体" w:hAnsi="宋体"/>
          <w:b/>
          <w:color w:val="auto"/>
          <w:sz w:val="24"/>
          <w:highlight w:val="none"/>
        </w:rPr>
        <w:t>履约</w:t>
      </w:r>
      <w:bookmarkEnd w:id="83"/>
      <w:r>
        <w:rPr>
          <w:rFonts w:hint="eastAsia" w:ascii="宋体" w:hAnsi="宋体"/>
          <w:b/>
          <w:color w:val="auto"/>
          <w:sz w:val="24"/>
          <w:highlight w:val="none"/>
        </w:rPr>
        <w:t>担保</w:t>
      </w:r>
    </w:p>
    <w:p>
      <w:pPr>
        <w:shd w:val="clear" w:color="auto" w:fill="FFFFFF"/>
        <w:spacing w:line="440" w:lineRule="exact"/>
        <w:ind w:firstLine="240" w:firstLineChars="100"/>
        <w:rPr>
          <w:rFonts w:hint="eastAsia" w:ascii="宋体" w:hAnsi="宋体" w:eastAsiaTheme="minorEastAsia"/>
          <w:b w:val="0"/>
          <w:bCs/>
          <w:color w:val="auto"/>
          <w:sz w:val="24"/>
          <w:highlight w:val="none"/>
          <w:lang w:eastAsia="zh-CN"/>
        </w:rPr>
      </w:pPr>
      <w:r>
        <w:rPr>
          <w:rFonts w:hint="eastAsia" w:ascii="宋体" w:hAnsi="宋体"/>
          <w:b w:val="0"/>
          <w:bCs/>
          <w:color w:val="auto"/>
          <w:sz w:val="24"/>
          <w:highlight w:val="none"/>
          <w:lang w:eastAsia="zh-CN"/>
        </w:rPr>
        <w:t>详见供应商须知前附表</w:t>
      </w:r>
    </w:p>
    <w:p>
      <w:pPr>
        <w:shd w:val="clear" w:color="auto" w:fill="FFFFFF"/>
        <w:spacing w:line="440" w:lineRule="exact"/>
        <w:rPr>
          <w:rFonts w:ascii="宋体" w:cs="宋体"/>
          <w:color w:val="auto"/>
          <w:kern w:val="0"/>
          <w:sz w:val="24"/>
          <w:highlight w:val="none"/>
        </w:rPr>
      </w:pPr>
      <w:r>
        <w:rPr>
          <w:rFonts w:ascii="宋体" w:hAnsi="宋体"/>
          <w:b/>
          <w:color w:val="auto"/>
          <w:sz w:val="24"/>
          <w:highlight w:val="none"/>
        </w:rPr>
        <w:t xml:space="preserve">7.4 </w:t>
      </w:r>
      <w:r>
        <w:rPr>
          <w:rFonts w:hint="eastAsia" w:ascii="宋体" w:hAnsi="宋体"/>
          <w:b/>
          <w:color w:val="auto"/>
          <w:sz w:val="24"/>
          <w:highlight w:val="none"/>
        </w:rPr>
        <w:t>签订合同</w:t>
      </w:r>
    </w:p>
    <w:p>
      <w:pPr>
        <w:shd w:val="clear" w:color="auto" w:fill="FFFFFF"/>
        <w:spacing w:line="440" w:lineRule="exact"/>
        <w:ind w:firstLine="480" w:firstLineChars="200"/>
        <w:rPr>
          <w:color w:val="auto"/>
          <w:sz w:val="24"/>
          <w:highlight w:val="none"/>
        </w:rPr>
      </w:pPr>
      <w:r>
        <w:rPr>
          <w:rFonts w:hint="eastAsia" w:ascii="宋体" w:hAnsi="宋体" w:cs="宋体"/>
          <w:color w:val="auto"/>
          <w:kern w:val="0"/>
          <w:sz w:val="24"/>
          <w:highlight w:val="none"/>
        </w:rPr>
        <w:t>成交通知书发出之日起</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日内，按照</w:t>
      </w:r>
      <w:r>
        <w:rPr>
          <w:rFonts w:hint="eastAsia"/>
          <w:color w:val="auto"/>
          <w:sz w:val="24"/>
          <w:highlight w:val="none"/>
        </w:rPr>
        <w:t>磋商</w:t>
      </w:r>
      <w:r>
        <w:rPr>
          <w:rFonts w:hint="eastAsia" w:ascii="宋体" w:hAnsi="宋体" w:cs="宋体"/>
          <w:color w:val="auto"/>
          <w:kern w:val="0"/>
          <w:sz w:val="24"/>
          <w:highlight w:val="none"/>
        </w:rPr>
        <w:t>文件确定的事项签订合同</w:t>
      </w:r>
      <w:r>
        <w:rPr>
          <w:rFonts w:hint="eastAsia"/>
          <w:color w:val="auto"/>
          <w:sz w:val="24"/>
          <w:highlight w:val="none"/>
        </w:rPr>
        <w:t>。</w:t>
      </w:r>
      <w:r>
        <w:rPr>
          <w:rFonts w:hint="eastAsia" w:ascii="宋体" w:hAnsi="宋体" w:cs="宋体"/>
          <w:color w:val="auto"/>
          <w:sz w:val="24"/>
          <w:highlight w:val="none"/>
        </w:rPr>
        <w:t>磋商文件、成交供应商的响应文件以及磋商过程中的最终书面报价、有关澄清、承诺文件等均为合同的组成部分。</w:t>
      </w:r>
    </w:p>
    <w:p>
      <w:pPr>
        <w:spacing w:line="440" w:lineRule="exact"/>
        <w:rPr>
          <w:rFonts w:ascii="宋体"/>
          <w:b/>
          <w:color w:val="auto"/>
          <w:sz w:val="24"/>
          <w:highlight w:val="none"/>
        </w:rPr>
      </w:pPr>
      <w:r>
        <w:rPr>
          <w:rFonts w:ascii="宋体" w:hAnsi="宋体"/>
          <w:b/>
          <w:color w:val="auto"/>
          <w:sz w:val="24"/>
          <w:highlight w:val="none"/>
        </w:rPr>
        <w:t xml:space="preserve">8. </w:t>
      </w:r>
      <w:r>
        <w:rPr>
          <w:rFonts w:hint="eastAsia" w:ascii="宋体" w:hAnsi="宋体"/>
          <w:b/>
          <w:color w:val="auto"/>
          <w:sz w:val="24"/>
          <w:highlight w:val="none"/>
        </w:rPr>
        <w:t>重新采购</w:t>
      </w:r>
    </w:p>
    <w:p>
      <w:pPr>
        <w:spacing w:line="440" w:lineRule="exact"/>
        <w:rPr>
          <w:rFonts w:ascii="宋体"/>
          <w:b/>
          <w:color w:val="auto"/>
          <w:sz w:val="24"/>
          <w:highlight w:val="none"/>
        </w:rPr>
      </w:pPr>
      <w:r>
        <w:rPr>
          <w:rFonts w:ascii="宋体" w:hAnsi="宋体"/>
          <w:b/>
          <w:color w:val="auto"/>
          <w:sz w:val="24"/>
          <w:highlight w:val="none"/>
        </w:rPr>
        <w:t xml:space="preserve">8.1 </w:t>
      </w:r>
      <w:r>
        <w:rPr>
          <w:rFonts w:hint="eastAsia" w:ascii="宋体" w:hAnsi="宋体"/>
          <w:b/>
          <w:color w:val="auto"/>
          <w:sz w:val="24"/>
          <w:highlight w:val="none"/>
        </w:rPr>
        <w:t>重新采购</w:t>
      </w:r>
    </w:p>
    <w:p>
      <w:pPr>
        <w:widowControl/>
        <w:shd w:val="clear" w:color="auto" w:fill="FFFFFF"/>
        <w:spacing w:line="440" w:lineRule="exact"/>
        <w:ind w:firstLine="480"/>
        <w:jc w:val="left"/>
        <w:rPr>
          <w:rFonts w:ascii="宋体" w:cs="宋体"/>
          <w:color w:val="auto"/>
          <w:kern w:val="0"/>
          <w:sz w:val="24"/>
          <w:highlight w:val="none"/>
        </w:rPr>
      </w:pPr>
      <w:r>
        <w:rPr>
          <w:rFonts w:hint="eastAsia"/>
          <w:color w:val="auto"/>
          <w:sz w:val="24"/>
          <w:highlight w:val="none"/>
        </w:rPr>
        <w:t>出现下列情形之一的，采购人或者采购代理机构应当终止竞争性磋商采购活动，发布项目终止公告并</w:t>
      </w:r>
      <w:r>
        <w:rPr>
          <w:rFonts w:hint="eastAsia" w:ascii="宋体" w:hAnsi="宋体" w:cs="宋体"/>
          <w:color w:val="auto"/>
          <w:kern w:val="0"/>
          <w:sz w:val="24"/>
          <w:highlight w:val="none"/>
        </w:rPr>
        <w:t>说明原因，重新开展采购活动：</w:t>
      </w:r>
    </w:p>
    <w:p>
      <w:pPr>
        <w:shd w:val="clear" w:color="auto" w:fill="FFFFFF"/>
        <w:spacing w:line="440" w:lineRule="exact"/>
        <w:ind w:firstLine="480" w:firstLineChars="200"/>
        <w:rPr>
          <w:color w:val="auto"/>
          <w:sz w:val="24"/>
          <w:highlight w:val="none"/>
        </w:rPr>
      </w:pPr>
      <w:r>
        <w:rPr>
          <w:rFonts w:hint="eastAsia" w:ascii="宋体" w:hAnsi="宋体" w:cs="宋体"/>
          <w:color w:val="auto"/>
          <w:kern w:val="0"/>
          <w:sz w:val="24"/>
          <w:highlight w:val="none"/>
        </w:rPr>
        <w:t>（一</w:t>
      </w:r>
      <w:r>
        <w:rPr>
          <w:rFonts w:hint="eastAsia"/>
          <w:color w:val="auto"/>
          <w:sz w:val="24"/>
          <w:highlight w:val="none"/>
        </w:rPr>
        <w:t>）因情况变化，不再符合规定的竞争性磋商采购方式适用情形的；</w:t>
      </w:r>
    </w:p>
    <w:p>
      <w:pPr>
        <w:shd w:val="clear" w:color="auto" w:fill="FFFFFF"/>
        <w:spacing w:line="440" w:lineRule="exact"/>
        <w:ind w:firstLine="480" w:firstLineChars="200"/>
        <w:rPr>
          <w:color w:val="auto"/>
          <w:sz w:val="24"/>
          <w:highlight w:val="none"/>
        </w:rPr>
      </w:pPr>
      <w:r>
        <w:rPr>
          <w:rFonts w:hint="eastAsia"/>
          <w:color w:val="auto"/>
          <w:sz w:val="24"/>
          <w:highlight w:val="none"/>
        </w:rPr>
        <w:t>（二）出现影响采购公正的违法、违规行为的；</w:t>
      </w:r>
    </w:p>
    <w:p>
      <w:pPr>
        <w:shd w:val="clear" w:color="auto" w:fill="FFFFFF"/>
        <w:spacing w:line="440" w:lineRule="exact"/>
        <w:ind w:firstLine="480" w:firstLineChars="200"/>
        <w:rPr>
          <w:rFonts w:ascii="宋体" w:cs="宋体"/>
          <w:color w:val="auto"/>
          <w:kern w:val="0"/>
          <w:sz w:val="24"/>
          <w:highlight w:val="none"/>
        </w:rPr>
      </w:pPr>
      <w:r>
        <w:rPr>
          <w:rFonts w:hint="eastAsia"/>
          <w:color w:val="auto"/>
          <w:sz w:val="24"/>
          <w:highlight w:val="none"/>
        </w:rPr>
        <w:t>（三）除特殊</w:t>
      </w:r>
      <w:r>
        <w:rPr>
          <w:rFonts w:hint="eastAsia" w:ascii="宋体" w:hAnsi="宋体" w:cs="宋体"/>
          <w:color w:val="auto"/>
          <w:kern w:val="0"/>
          <w:sz w:val="24"/>
          <w:highlight w:val="none"/>
        </w:rPr>
        <w:t>情形外，在采购过程中符合要求的供应商或者参与本项目的供应商不足</w:t>
      </w:r>
      <w:r>
        <w:rPr>
          <w:rFonts w:ascii="宋体" w:hAnsi="宋体" w:cs="宋体"/>
          <w:color w:val="auto"/>
          <w:kern w:val="0"/>
          <w:sz w:val="24"/>
          <w:highlight w:val="none"/>
        </w:rPr>
        <w:t>3</w:t>
      </w:r>
      <w:r>
        <w:rPr>
          <w:rFonts w:hint="eastAsia" w:ascii="宋体" w:hAnsi="宋体" w:cs="宋体"/>
          <w:color w:val="auto"/>
          <w:kern w:val="0"/>
          <w:sz w:val="24"/>
          <w:highlight w:val="none"/>
        </w:rPr>
        <w:t>家的。</w:t>
      </w:r>
    </w:p>
    <w:p>
      <w:pPr>
        <w:spacing w:line="440" w:lineRule="exact"/>
        <w:rPr>
          <w:rFonts w:ascii="宋体"/>
          <w:b/>
          <w:color w:val="auto"/>
          <w:sz w:val="24"/>
          <w:highlight w:val="none"/>
        </w:rPr>
      </w:pPr>
      <w:r>
        <w:rPr>
          <w:rFonts w:ascii="宋体" w:hAnsi="宋体"/>
          <w:b/>
          <w:color w:val="auto"/>
          <w:sz w:val="24"/>
          <w:highlight w:val="none"/>
        </w:rPr>
        <w:t xml:space="preserve">9. </w:t>
      </w:r>
      <w:r>
        <w:rPr>
          <w:rFonts w:hint="eastAsia" w:ascii="宋体" w:hAnsi="宋体"/>
          <w:b/>
          <w:color w:val="auto"/>
          <w:sz w:val="24"/>
          <w:highlight w:val="none"/>
        </w:rPr>
        <w:t>纪律和监督</w:t>
      </w:r>
    </w:p>
    <w:p>
      <w:pPr>
        <w:spacing w:line="440" w:lineRule="exact"/>
        <w:rPr>
          <w:rFonts w:ascii="宋体"/>
          <w:b/>
          <w:color w:val="auto"/>
          <w:sz w:val="24"/>
          <w:highlight w:val="none"/>
        </w:rPr>
      </w:pPr>
      <w:r>
        <w:rPr>
          <w:rFonts w:ascii="宋体" w:hAnsi="宋体"/>
          <w:b/>
          <w:color w:val="auto"/>
          <w:sz w:val="24"/>
          <w:highlight w:val="none"/>
        </w:rPr>
        <w:t xml:space="preserve">9.1 </w:t>
      </w:r>
      <w:r>
        <w:rPr>
          <w:rFonts w:hint="eastAsia" w:ascii="宋体" w:hAnsi="宋体"/>
          <w:b/>
          <w:color w:val="auto"/>
          <w:sz w:val="24"/>
          <w:highlight w:val="none"/>
        </w:rPr>
        <w:t>对采购人的纪律要求</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采购人不得泄漏采购活动中应当保密的情况和资料，不得与供应商串通损害国家利益、社会公共利益和他人合法权益。</w:t>
      </w:r>
    </w:p>
    <w:p>
      <w:pPr>
        <w:spacing w:line="440" w:lineRule="exact"/>
        <w:rPr>
          <w:rFonts w:ascii="宋体"/>
          <w:b/>
          <w:color w:val="auto"/>
          <w:sz w:val="24"/>
          <w:highlight w:val="none"/>
        </w:rPr>
      </w:pPr>
      <w:r>
        <w:rPr>
          <w:rFonts w:ascii="宋体" w:hAnsi="宋体"/>
          <w:b/>
          <w:color w:val="auto"/>
          <w:sz w:val="24"/>
          <w:highlight w:val="none"/>
        </w:rPr>
        <w:t xml:space="preserve">9.2 </w:t>
      </w:r>
      <w:r>
        <w:rPr>
          <w:rFonts w:hint="eastAsia" w:ascii="宋体" w:hAnsi="宋体"/>
          <w:b/>
          <w:color w:val="auto"/>
          <w:sz w:val="24"/>
          <w:highlight w:val="none"/>
        </w:rPr>
        <w:t>对供应商的纪律要求</w:t>
      </w:r>
    </w:p>
    <w:p>
      <w:pPr>
        <w:spacing w:line="440" w:lineRule="exact"/>
        <w:ind w:firstLine="480" w:firstLineChars="200"/>
        <w:rPr>
          <w:color w:val="auto"/>
          <w:sz w:val="24"/>
          <w:highlight w:val="none"/>
        </w:rPr>
      </w:pPr>
      <w:r>
        <w:rPr>
          <w:rFonts w:hint="eastAsia"/>
          <w:color w:val="auto"/>
          <w:sz w:val="24"/>
          <w:highlight w:val="none"/>
        </w:rPr>
        <w:t>供应</w:t>
      </w:r>
      <w:r>
        <w:rPr>
          <w:rFonts w:hint="eastAsia" w:ascii="宋体" w:hAnsi="宋体"/>
          <w:color w:val="auto"/>
          <w:sz w:val="24"/>
          <w:highlight w:val="none"/>
        </w:rPr>
        <w:t>商不得相互串通投标或者与采购人串通投标，不得向采购人或者磋商小组成员行贿谋取成交，不得以他人</w:t>
      </w:r>
      <w:r>
        <w:rPr>
          <w:rFonts w:hint="eastAsia"/>
          <w:color w:val="auto"/>
          <w:sz w:val="24"/>
          <w:highlight w:val="none"/>
        </w:rPr>
        <w:t>名义投标或者以其他方式弄虚作假骗取成交；供应商不得以任何方式干扰、影响磋商工作。</w:t>
      </w:r>
    </w:p>
    <w:p>
      <w:pPr>
        <w:spacing w:line="440" w:lineRule="exact"/>
        <w:rPr>
          <w:rFonts w:ascii="宋体"/>
          <w:b/>
          <w:color w:val="auto"/>
          <w:sz w:val="24"/>
          <w:highlight w:val="none"/>
        </w:rPr>
      </w:pPr>
      <w:r>
        <w:rPr>
          <w:rFonts w:ascii="宋体" w:hAnsi="宋体"/>
          <w:b/>
          <w:color w:val="auto"/>
          <w:sz w:val="24"/>
          <w:highlight w:val="none"/>
        </w:rPr>
        <w:t xml:space="preserve">9.3 </w:t>
      </w:r>
      <w:r>
        <w:rPr>
          <w:rFonts w:hint="eastAsia" w:ascii="宋体" w:hAnsi="宋体"/>
          <w:b/>
          <w:color w:val="auto"/>
          <w:sz w:val="24"/>
          <w:highlight w:val="none"/>
        </w:rPr>
        <w:t>对磋商小组成员的纪律要求</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磋商小组成员不得收受他人的财物或者其他好处，不得向他人透漏对响应文件的评审和比较、成交供应商候选人的推荐情况以及与磋商有关的其他情况。在磋商活动中，磋商小组成员不得擅离职守，影响磋商程序正常进行，不得使用第三章“磋商办法”没有规定的评审因素和标准进行磋商。</w:t>
      </w:r>
    </w:p>
    <w:p>
      <w:pPr>
        <w:spacing w:line="440" w:lineRule="exact"/>
        <w:rPr>
          <w:rFonts w:ascii="宋体"/>
          <w:b/>
          <w:color w:val="auto"/>
          <w:sz w:val="24"/>
          <w:highlight w:val="none"/>
        </w:rPr>
      </w:pPr>
      <w:r>
        <w:rPr>
          <w:rFonts w:ascii="宋体" w:hAnsi="宋体"/>
          <w:b/>
          <w:color w:val="auto"/>
          <w:sz w:val="24"/>
          <w:highlight w:val="none"/>
        </w:rPr>
        <w:t xml:space="preserve">9.4 </w:t>
      </w:r>
      <w:r>
        <w:rPr>
          <w:rFonts w:hint="eastAsia" w:ascii="宋体" w:hAnsi="宋体"/>
          <w:b/>
          <w:color w:val="auto"/>
          <w:sz w:val="24"/>
          <w:highlight w:val="none"/>
        </w:rPr>
        <w:t>对与磋商活动有关的工作人员的纪律要求</w:t>
      </w:r>
    </w:p>
    <w:p>
      <w:pPr>
        <w:spacing w:line="440" w:lineRule="exact"/>
        <w:ind w:firstLine="480" w:firstLineChars="200"/>
        <w:rPr>
          <w:color w:val="auto"/>
          <w:sz w:val="24"/>
          <w:highlight w:val="none"/>
        </w:rPr>
      </w:pPr>
      <w:r>
        <w:rPr>
          <w:rFonts w:hint="eastAsia"/>
          <w:color w:val="auto"/>
          <w:sz w:val="24"/>
          <w:highlight w:val="none"/>
        </w:rPr>
        <w:t>与磋商</w:t>
      </w:r>
      <w:r>
        <w:rPr>
          <w:rFonts w:hint="eastAsia" w:ascii="宋体" w:hAnsi="宋体"/>
          <w:color w:val="auto"/>
          <w:sz w:val="24"/>
          <w:highlight w:val="none"/>
        </w:rPr>
        <w:t>活动有关的工作人员不得收受他人的财物或者其他好处，不得向他人透漏对响应文件的评审和比较、成交供应商候选人的推荐情况以及与磋商有关的其他情况。在磋商活动中，与磋商活动有关的</w:t>
      </w:r>
      <w:r>
        <w:rPr>
          <w:rFonts w:hint="eastAsia"/>
          <w:color w:val="auto"/>
          <w:sz w:val="24"/>
          <w:highlight w:val="none"/>
        </w:rPr>
        <w:t>工作人员不得擅离职守，影响磋商程序正常进行</w:t>
      </w:r>
    </w:p>
    <w:p>
      <w:pPr>
        <w:spacing w:line="440" w:lineRule="exact"/>
        <w:rPr>
          <w:rFonts w:ascii="宋体"/>
          <w:b/>
          <w:color w:val="auto"/>
          <w:sz w:val="24"/>
          <w:highlight w:val="none"/>
        </w:rPr>
      </w:pPr>
      <w:r>
        <w:rPr>
          <w:rFonts w:ascii="宋体" w:hAnsi="宋体"/>
          <w:b/>
          <w:color w:val="auto"/>
          <w:sz w:val="24"/>
          <w:highlight w:val="none"/>
        </w:rPr>
        <w:t xml:space="preserve">10. </w:t>
      </w:r>
      <w:r>
        <w:rPr>
          <w:rFonts w:hint="eastAsia" w:ascii="宋体" w:hAnsi="宋体"/>
          <w:b/>
          <w:color w:val="auto"/>
          <w:sz w:val="24"/>
          <w:highlight w:val="none"/>
        </w:rPr>
        <w:t>解释权</w:t>
      </w:r>
    </w:p>
    <w:p>
      <w:pPr>
        <w:pStyle w:val="8"/>
        <w:spacing w:after="0" w:line="440" w:lineRule="exact"/>
        <w:ind w:firstLine="480" w:firstLineChars="200"/>
        <w:textAlignment w:val="baseline"/>
        <w:rPr>
          <w:rFonts w:cs="宋体"/>
          <w:color w:val="auto"/>
          <w:sz w:val="24"/>
          <w:highlight w:val="none"/>
        </w:rPr>
      </w:pPr>
      <w:r>
        <w:rPr>
          <w:rFonts w:hint="eastAsia" w:cs="宋体"/>
          <w:color w:val="auto"/>
          <w:sz w:val="24"/>
          <w:highlight w:val="none"/>
        </w:rPr>
        <w:t>本磋商文</w:t>
      </w:r>
      <w:r>
        <w:rPr>
          <w:rFonts w:hint="eastAsia" w:ascii="Times New Roman" w:hAnsi="Times New Roman"/>
          <w:color w:val="auto"/>
          <w:kern w:val="2"/>
          <w:sz w:val="24"/>
          <w:highlight w:val="none"/>
        </w:rPr>
        <w:t>件的最终解释权归采购人，当对一个问题有多种解释时以采购人的书面解释为准。磋商文件未做须知</w:t>
      </w:r>
      <w:r>
        <w:rPr>
          <w:rFonts w:hint="eastAsia" w:cs="宋体"/>
          <w:color w:val="auto"/>
          <w:sz w:val="24"/>
          <w:highlight w:val="none"/>
        </w:rPr>
        <w:t>明示，采购人将依据相关法律、法规做出解释。</w:t>
      </w:r>
    </w:p>
    <w:p>
      <w:pPr>
        <w:rPr>
          <w:b/>
          <w:color w:val="auto"/>
          <w:sz w:val="24"/>
          <w:highlight w:val="none"/>
        </w:rPr>
      </w:pPr>
    </w:p>
    <w:p>
      <w:pPr>
        <w:ind w:firstLine="472" w:firstLineChars="196"/>
        <w:rPr>
          <w:b/>
          <w:color w:val="auto"/>
          <w:sz w:val="24"/>
          <w:highlight w:val="none"/>
        </w:rPr>
      </w:pPr>
    </w:p>
    <w:p>
      <w:pPr>
        <w:pStyle w:val="3"/>
        <w:keepNext w:val="0"/>
        <w:keepLines w:val="0"/>
        <w:topLinePunct/>
        <w:spacing w:line="240" w:lineRule="auto"/>
        <w:jc w:val="both"/>
        <w:rPr>
          <w:color w:val="auto"/>
          <w:highlight w:val="none"/>
        </w:rPr>
        <w:sectPr>
          <w:footerReference r:id="rId4" w:type="first"/>
          <w:footerReference r:id="rId3" w:type="default"/>
          <w:pgSz w:w="11907" w:h="16840"/>
          <w:pgMar w:top="1304" w:right="1134" w:bottom="1304" w:left="1134" w:header="851" w:footer="851" w:gutter="0"/>
          <w:pgNumType w:fmt="decimal" w:start="1"/>
          <w:cols w:space="720" w:num="1"/>
          <w:titlePg/>
          <w:docGrid w:type="lines" w:linePitch="290" w:charSpace="0"/>
        </w:sectPr>
      </w:pPr>
    </w:p>
    <w:p>
      <w:pPr>
        <w:pStyle w:val="3"/>
        <w:rPr>
          <w:color w:val="auto"/>
          <w:highlight w:val="none"/>
        </w:rPr>
      </w:pPr>
      <w:bookmarkStart w:id="84" w:name="_Toc450115337"/>
      <w:bookmarkStart w:id="85" w:name="_Toc1151"/>
      <w:r>
        <w:rPr>
          <w:rFonts w:hint="eastAsia"/>
          <w:color w:val="auto"/>
          <w:highlight w:val="none"/>
        </w:rPr>
        <w:t>第三章   技术标准和要求</w:t>
      </w:r>
    </w:p>
    <w:p>
      <w:pPr>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本次维修服务招标，</w:t>
      </w:r>
      <w:r>
        <w:rPr>
          <w:rFonts w:hint="eastAsia" w:ascii="仿宋_GB2312" w:hAnsi="宋体" w:eastAsia="仿宋_GB2312" w:cs="Times New Roman"/>
          <w:sz w:val="32"/>
          <w:szCs w:val="32"/>
          <w:lang w:val="en-US" w:eastAsia="zh-CN"/>
        </w:rPr>
        <w:t>包含</w:t>
      </w:r>
      <w:r>
        <w:rPr>
          <w:rFonts w:hint="eastAsia" w:ascii="仿宋_GB2312" w:hAnsi="宋体" w:eastAsia="仿宋_GB2312" w:cs="Times New Roman"/>
          <w:color w:val="FF0000"/>
          <w:sz w:val="32"/>
          <w:szCs w:val="32"/>
          <w:lang w:val="en-US" w:eastAsia="zh-CN"/>
        </w:rPr>
        <w:t>别克商务车</w:t>
      </w:r>
      <w:r>
        <w:rPr>
          <w:rFonts w:hint="eastAsia" w:ascii="仿宋_GB2312" w:hAnsi="宋体" w:eastAsia="仿宋_GB2312" w:cs="Times New Roman"/>
          <w:sz w:val="32"/>
          <w:szCs w:val="32"/>
          <w:lang w:val="en-US" w:eastAsia="zh-CN"/>
        </w:rPr>
        <w:t>2辆（</w:t>
      </w:r>
      <w:r>
        <w:rPr>
          <w:rFonts w:hint="eastAsia" w:ascii="仿宋_GB2312" w:hAnsi="宋体" w:eastAsia="仿宋_GB2312" w:cs="Times New Roman"/>
          <w:color w:val="FF0000"/>
          <w:sz w:val="32"/>
          <w:szCs w:val="32"/>
          <w:lang w:val="en-US" w:eastAsia="zh-CN"/>
        </w:rPr>
        <w:t>SGM6527AT</w:t>
      </w:r>
      <w:r>
        <w:rPr>
          <w:rFonts w:hint="eastAsia" w:ascii="仿宋_GB2312" w:hAnsi="宋体" w:eastAsia="仿宋_GB2312" w:cs="Times New Roman"/>
          <w:sz w:val="32"/>
          <w:szCs w:val="32"/>
          <w:lang w:val="en-US" w:eastAsia="zh-CN"/>
        </w:rPr>
        <w:t>、SGM6515ATA),斯柯达昊锐1辆（SVW7209CJD），大众迈腾2辆（FV718FBDWG），尼桑皮卡1辆（ZN1032U2G3），</w:t>
      </w:r>
      <w:r>
        <w:rPr>
          <w:rFonts w:hint="eastAsia" w:ascii="仿宋_GB2312" w:hAnsi="宋体" w:eastAsia="仿宋_GB2312" w:cs="Times New Roman"/>
          <w:color w:val="FF0000"/>
          <w:sz w:val="32"/>
          <w:szCs w:val="32"/>
          <w:lang w:val="en-US" w:eastAsia="zh-CN"/>
        </w:rPr>
        <w:t>青年客车1辆（JNP6105T)</w:t>
      </w:r>
      <w:r>
        <w:rPr>
          <w:rFonts w:hint="eastAsia" w:ascii="仿宋_GB2312" w:hAnsi="宋体" w:eastAsia="仿宋_GB2312" w:cs="Times New Roman"/>
          <w:sz w:val="32"/>
          <w:szCs w:val="32"/>
          <w:lang w:val="en-US" w:eastAsia="zh-CN"/>
        </w:rPr>
        <w:t>，共7辆。</w:t>
      </w:r>
    </w:p>
    <w:p>
      <w:pPr>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具体以实际使用及维修数量为准。</w:t>
      </w:r>
    </w:p>
    <w:p>
      <w:pPr>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1、大修服务</w:t>
      </w:r>
    </w:p>
    <w:tbl>
      <w:tblPr>
        <w:tblStyle w:val="16"/>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发动机大修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离合器大修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变速器大修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后桥总成大修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前桥总成大修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制动系大修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转向系大修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全车烤漆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车身大修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trPr>
        <w:tc>
          <w:tcPr>
            <w:tcW w:w="844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底盘大修</w:t>
            </w:r>
          </w:p>
        </w:tc>
      </w:tr>
    </w:tbl>
    <w:p>
      <w:pPr>
        <w:spacing w:line="480" w:lineRule="auto"/>
        <w:ind w:left="239" w:leftChars="114" w:firstLine="320" w:firstLineChars="100"/>
        <w:rPr>
          <w:rFonts w:hAnsi="宋体"/>
          <w:sz w:val="32"/>
          <w:szCs w:val="32"/>
        </w:rPr>
      </w:pPr>
    </w:p>
    <w:p>
      <w:pPr>
        <w:widowControl/>
        <w:jc w:val="left"/>
        <w:rPr>
          <w:rFonts w:hAnsi="宋体"/>
          <w:b w:val="0"/>
          <w:bCs/>
          <w:sz w:val="32"/>
          <w:szCs w:val="32"/>
        </w:rPr>
      </w:pPr>
      <w:r>
        <w:rPr>
          <w:rFonts w:hint="eastAsia" w:hAnsi="宋体"/>
          <w:b w:val="0"/>
          <w:bCs/>
          <w:sz w:val="32"/>
          <w:szCs w:val="32"/>
        </w:rPr>
        <w:t>2、小修服务</w:t>
      </w:r>
    </w:p>
    <w:tbl>
      <w:tblPr>
        <w:tblStyle w:val="16"/>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更换发电机皮带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shd w:val="clear" w:fill="92D050"/>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shd w:val="clear" w:fill="92D050"/>
                <w:lang w:bidi="ar"/>
              </w:rPr>
              <w:t>更换火花塞（套）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更换起动机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更换汽油泵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更换正时皮带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清洗调试化油器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清洗节气门体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换点火线圈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换活塞环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换前刹车分泵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更换后刹车片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更换前减震器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更换前刹车盘、片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更换前刹车片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更换外球笼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更换下臂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更换下臂球头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更换转向横拉杆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轮胎动平衡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轮胎换位（全车）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四轮定位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修离合器换片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换离合器总泵及碗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更换灯泡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更换点火开关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更换尾灯（总成）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更换雾灯（前）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检修线路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修雨刷器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换小灯总成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shd w:val="clear" w:fill="92D050"/>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修刹车灯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换前风挡玻璃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配门把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修玻璃升降器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8400" w:type="dxa"/>
            <w:noWrap w:val="0"/>
            <w:vAlign w:val="center"/>
          </w:tcPr>
          <w:p>
            <w:pPr>
              <w:widowControl/>
              <w:shd w:val="clear" w:fill="92D050"/>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局部烤漆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4" w:hRule="atLeast"/>
        </w:trPr>
        <w:tc>
          <w:tcPr>
            <w:tcW w:w="8400"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车门锁块总成</w:t>
            </w:r>
          </w:p>
        </w:tc>
      </w:tr>
    </w:tbl>
    <w:p>
      <w:pPr>
        <w:spacing w:line="480" w:lineRule="auto"/>
        <w:jc w:val="both"/>
        <w:rPr>
          <w:rFonts w:hAnsi="宋体"/>
          <w:sz w:val="32"/>
          <w:szCs w:val="32"/>
        </w:rPr>
      </w:pPr>
    </w:p>
    <w:p>
      <w:pPr>
        <w:widowControl/>
        <w:spacing w:line="480" w:lineRule="auto"/>
        <w:jc w:val="left"/>
        <w:rPr>
          <w:rFonts w:hAnsi="宋体"/>
          <w:b w:val="0"/>
          <w:bCs/>
          <w:sz w:val="32"/>
          <w:szCs w:val="32"/>
        </w:rPr>
      </w:pPr>
      <w:r>
        <w:rPr>
          <w:rFonts w:hint="eastAsia" w:hAnsi="宋体"/>
          <w:b w:val="0"/>
          <w:bCs/>
          <w:sz w:val="32"/>
          <w:szCs w:val="32"/>
        </w:rPr>
        <w:t>3、基本维护</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822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换空调滤芯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822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换机油,换三滤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822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换机油,机滤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822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换空滤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822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换汽滤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rPr>
        <w:tc>
          <w:tcPr>
            <w:tcW w:w="8220"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换防冻液</w:t>
            </w:r>
          </w:p>
        </w:tc>
      </w:tr>
    </w:tbl>
    <w:p>
      <w:pPr>
        <w:widowControl/>
        <w:jc w:val="left"/>
        <w:rPr>
          <w:rFonts w:hAnsi="宋体"/>
          <w:b/>
          <w:sz w:val="32"/>
          <w:szCs w:val="32"/>
        </w:rPr>
      </w:pPr>
    </w:p>
    <w:p>
      <w:pPr>
        <w:widowControl/>
        <w:jc w:val="left"/>
        <w:rPr>
          <w:rFonts w:hAnsi="宋体"/>
          <w:b w:val="0"/>
          <w:bCs/>
          <w:sz w:val="32"/>
          <w:szCs w:val="32"/>
        </w:rPr>
      </w:pPr>
      <w:r>
        <w:rPr>
          <w:rFonts w:hint="eastAsia" w:hAnsi="宋体"/>
          <w:b w:val="0"/>
          <w:bCs/>
          <w:sz w:val="32"/>
          <w:szCs w:val="32"/>
        </w:rPr>
        <w:t>4、维修所需材料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更换空调压缩机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机油滤清器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燃油滤清器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空气滤清器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前刹车片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后刹车片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离合器片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离合器压盘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离合器分离轴承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火花塞（单个）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前减震器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后减震器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雨刮器片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车门把手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玻璃升降器总成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起动机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top"/>
          </w:tcPr>
          <w:p>
            <w:pPr>
              <w:shd w:val="clear" w:fill="92D050"/>
              <w:jc w:val="center"/>
              <w:rPr>
                <w:rFonts w:ascii="仿宋_GB2312" w:eastAsia="仿宋_GB2312"/>
                <w:sz w:val="32"/>
                <w:szCs w:val="32"/>
              </w:rPr>
            </w:pPr>
            <w:r>
              <w:rPr>
                <w:rFonts w:hint="eastAsia" w:ascii="仿宋_GB2312" w:eastAsia="仿宋_GB2312"/>
                <w:color w:val="FF0000"/>
                <w:sz w:val="32"/>
                <w:szCs w:val="32"/>
              </w:rPr>
              <w:t>电瓶（大、小）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0" w:type="dxa"/>
            <w:noWrap w:val="0"/>
            <w:vAlign w:val="top"/>
          </w:tcPr>
          <w:p>
            <w:pPr>
              <w:jc w:val="center"/>
              <w:rPr>
                <w:rFonts w:ascii="仿宋_GB2312" w:eastAsia="仿宋_GB2312"/>
                <w:sz w:val="32"/>
                <w:szCs w:val="32"/>
              </w:rPr>
            </w:pPr>
            <w:r>
              <w:rPr>
                <w:rFonts w:hint="eastAsia" w:ascii="仿宋_GB2312" w:eastAsia="仿宋_GB2312"/>
                <w:sz w:val="32"/>
                <w:szCs w:val="32"/>
              </w:rPr>
              <w:t>前后轴承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80" w:type="dxa"/>
            <w:noWrap w:val="0"/>
            <w:vAlign w:val="top"/>
          </w:tcPr>
          <w:p>
            <w:pPr>
              <w:jc w:val="center"/>
              <w:rPr>
                <w:rFonts w:ascii="仿宋_GB2312" w:eastAsia="仿宋_GB2312"/>
                <w:sz w:val="32"/>
                <w:szCs w:val="32"/>
              </w:rPr>
            </w:pPr>
            <w:r>
              <w:rPr>
                <w:rFonts w:hint="eastAsia" w:ascii="仿宋_GB2312" w:eastAsia="仿宋_GB2312"/>
                <w:sz w:val="32"/>
                <w:szCs w:val="32"/>
              </w:rPr>
              <w:t>大灯总成</w:t>
            </w:r>
          </w:p>
        </w:tc>
      </w:tr>
    </w:tbl>
    <w:p>
      <w:pPr>
        <w:jc w:val="left"/>
        <w:rPr>
          <w:color w:val="auto"/>
          <w:highlight w:val="none"/>
        </w:rPr>
      </w:pPr>
      <w:r>
        <w:rPr>
          <w:rFonts w:hint="eastAsia"/>
          <w:b/>
          <w:bCs/>
          <w:color w:val="auto"/>
          <w:sz w:val="30"/>
          <w:szCs w:val="30"/>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val="0"/>
        <w:keepLines w:val="0"/>
        <w:topLinePunct/>
        <w:spacing w:line="240" w:lineRule="auto"/>
        <w:rPr>
          <w:b/>
          <w:bCs/>
          <w:color w:val="auto"/>
          <w:sz w:val="36"/>
          <w:highlight w:val="none"/>
        </w:rPr>
      </w:pPr>
      <w:r>
        <w:rPr>
          <w:rFonts w:hint="eastAsia"/>
          <w:color w:val="auto"/>
          <w:highlight w:val="none"/>
        </w:rPr>
        <w:t>第四章</w:t>
      </w:r>
      <w:r>
        <w:rPr>
          <w:rFonts w:hint="eastAsia"/>
          <w:color w:val="auto"/>
          <w:highlight w:val="none"/>
          <w:lang w:val="en-US" w:eastAsia="zh-CN"/>
        </w:rPr>
        <w:t xml:space="preserve">  </w:t>
      </w:r>
      <w:r>
        <w:rPr>
          <w:rFonts w:hint="eastAsia"/>
          <w:color w:val="auto"/>
          <w:highlight w:val="none"/>
        </w:rPr>
        <w:t>合同格式</w:t>
      </w:r>
      <w:bookmarkEnd w:id="84"/>
      <w:bookmarkEnd w:id="85"/>
      <w:bookmarkStart w:id="86" w:name="_Toc419099961"/>
      <w:bookmarkStart w:id="87" w:name="_Toc421524511"/>
      <w:bookmarkStart w:id="88" w:name="_Toc3126"/>
    </w:p>
    <w:p>
      <w:pPr>
        <w:jc w:val="center"/>
        <w:rPr>
          <w:b/>
          <w:bCs/>
          <w:color w:val="auto"/>
          <w:sz w:val="44"/>
          <w:szCs w:val="44"/>
          <w:highlight w:val="none"/>
        </w:rPr>
      </w:pPr>
    </w:p>
    <w:p>
      <w:pPr>
        <w:jc w:val="center"/>
        <w:rPr>
          <w:b/>
          <w:bCs/>
          <w:color w:val="auto"/>
          <w:sz w:val="44"/>
          <w:szCs w:val="44"/>
          <w:highlight w:val="none"/>
        </w:rPr>
      </w:pPr>
    </w:p>
    <w:p>
      <w:pPr>
        <w:jc w:val="center"/>
        <w:rPr>
          <w:rFonts w:hint="eastAsia" w:eastAsiaTheme="minorEastAsia"/>
          <w:b/>
          <w:bCs/>
          <w:color w:val="auto"/>
          <w:sz w:val="44"/>
          <w:szCs w:val="44"/>
          <w:highlight w:val="none"/>
          <w:lang w:eastAsia="zh-CN"/>
        </w:rPr>
      </w:pPr>
      <w:r>
        <w:rPr>
          <w:rFonts w:hint="eastAsia"/>
          <w:b/>
          <w:bCs/>
          <w:color w:val="auto"/>
          <w:sz w:val="44"/>
          <w:szCs w:val="44"/>
          <w:highlight w:val="none"/>
          <w:lang w:eastAsia="zh-CN"/>
        </w:rPr>
        <w:t>济宁医学院日照校区车辆定点维修服务采购项目</w:t>
      </w:r>
    </w:p>
    <w:p>
      <w:pPr>
        <w:jc w:val="center"/>
        <w:rPr>
          <w:rFonts w:hint="eastAsia"/>
          <w:b/>
          <w:bCs/>
          <w:color w:val="auto"/>
          <w:sz w:val="44"/>
          <w:szCs w:val="44"/>
          <w:highlight w:val="none"/>
        </w:rPr>
      </w:pPr>
    </w:p>
    <w:p>
      <w:pPr>
        <w:jc w:val="center"/>
        <w:rPr>
          <w:b/>
          <w:bCs/>
          <w:color w:val="auto"/>
          <w:sz w:val="44"/>
          <w:szCs w:val="44"/>
          <w:highlight w:val="none"/>
        </w:rPr>
      </w:pPr>
      <w:r>
        <w:rPr>
          <w:rFonts w:hint="eastAsia"/>
          <w:b/>
          <w:bCs/>
          <w:color w:val="auto"/>
          <w:sz w:val="44"/>
          <w:szCs w:val="44"/>
          <w:highlight w:val="none"/>
        </w:rPr>
        <w:t>采购合同</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ind w:firstLine="2240" w:firstLineChars="800"/>
        <w:rPr>
          <w:color w:val="auto"/>
          <w:sz w:val="28"/>
          <w:szCs w:val="28"/>
          <w:highlight w:val="none"/>
        </w:rPr>
      </w:pPr>
      <w:r>
        <w:rPr>
          <w:rFonts w:hint="eastAsia"/>
          <w:color w:val="auto"/>
          <w:sz w:val="28"/>
          <w:szCs w:val="28"/>
          <w:highlight w:val="none"/>
        </w:rPr>
        <w:t>合同编号：</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ind w:firstLine="2240" w:firstLineChars="800"/>
        <w:jc w:val="left"/>
        <w:rPr>
          <w:color w:val="auto"/>
          <w:sz w:val="28"/>
          <w:szCs w:val="28"/>
          <w:highlight w:val="none"/>
        </w:rPr>
      </w:pPr>
      <w:r>
        <w:rPr>
          <w:rFonts w:hint="eastAsia"/>
          <w:color w:val="auto"/>
          <w:sz w:val="28"/>
          <w:szCs w:val="28"/>
          <w:highlight w:val="none"/>
        </w:rPr>
        <w:t>甲方：</w:t>
      </w:r>
    </w:p>
    <w:p>
      <w:pPr>
        <w:ind w:firstLine="2240" w:firstLineChars="800"/>
        <w:jc w:val="left"/>
        <w:rPr>
          <w:color w:val="auto"/>
          <w:sz w:val="28"/>
          <w:szCs w:val="28"/>
          <w:highlight w:val="none"/>
        </w:rPr>
      </w:pPr>
      <w:r>
        <w:rPr>
          <w:rFonts w:hint="eastAsia"/>
          <w:color w:val="auto"/>
          <w:sz w:val="28"/>
          <w:szCs w:val="28"/>
          <w:highlight w:val="none"/>
        </w:rPr>
        <w:t>乙方：</w:t>
      </w:r>
    </w:p>
    <w:p>
      <w:pPr>
        <w:ind w:firstLine="2240" w:firstLineChars="800"/>
        <w:jc w:val="left"/>
        <w:rPr>
          <w:color w:val="auto"/>
          <w:sz w:val="28"/>
          <w:szCs w:val="28"/>
          <w:highlight w:val="none"/>
        </w:rPr>
      </w:pPr>
      <w:r>
        <w:rPr>
          <w:rFonts w:hint="eastAsia"/>
          <w:color w:val="auto"/>
          <w:sz w:val="28"/>
          <w:szCs w:val="28"/>
          <w:highlight w:val="none"/>
        </w:rPr>
        <w:t>签署地点：</w:t>
      </w:r>
    </w:p>
    <w:p>
      <w:pPr>
        <w:ind w:firstLine="2240" w:firstLineChars="800"/>
        <w:jc w:val="left"/>
        <w:rPr>
          <w:color w:val="auto"/>
          <w:sz w:val="28"/>
          <w:szCs w:val="28"/>
          <w:highlight w:val="none"/>
        </w:rPr>
      </w:pPr>
      <w:r>
        <w:rPr>
          <w:rFonts w:hint="eastAsia"/>
          <w:color w:val="auto"/>
          <w:sz w:val="28"/>
          <w:szCs w:val="28"/>
          <w:highlight w:val="none"/>
        </w:rPr>
        <w:t>签署日期：</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一、本合同由合同文本和下列文件组成</w:t>
      </w:r>
    </w:p>
    <w:p>
      <w:pPr>
        <w:rPr>
          <w:color w:val="auto"/>
          <w:sz w:val="28"/>
          <w:szCs w:val="28"/>
          <w:highlight w:val="none"/>
        </w:rPr>
      </w:pPr>
      <w:r>
        <w:rPr>
          <w:rFonts w:hint="eastAsia"/>
          <w:color w:val="auto"/>
          <w:sz w:val="28"/>
          <w:szCs w:val="28"/>
          <w:highlight w:val="none"/>
        </w:rPr>
        <w:t>本合同所附下列文件是构成本合同不可分割的部分：</w:t>
      </w:r>
    </w:p>
    <w:p>
      <w:pPr>
        <w:rPr>
          <w:color w:val="auto"/>
          <w:sz w:val="28"/>
          <w:szCs w:val="28"/>
          <w:highlight w:val="none"/>
        </w:rPr>
      </w:pPr>
      <w:r>
        <w:rPr>
          <w:rFonts w:hint="eastAsia"/>
          <w:color w:val="auto"/>
          <w:sz w:val="28"/>
          <w:szCs w:val="28"/>
          <w:highlight w:val="none"/>
        </w:rPr>
        <w:t>（一）采购文件</w:t>
      </w:r>
    </w:p>
    <w:p>
      <w:pPr>
        <w:rPr>
          <w:color w:val="auto"/>
          <w:sz w:val="28"/>
          <w:szCs w:val="28"/>
          <w:highlight w:val="none"/>
        </w:rPr>
      </w:pPr>
      <w:r>
        <w:rPr>
          <w:rFonts w:hint="eastAsia"/>
          <w:color w:val="auto"/>
          <w:sz w:val="28"/>
          <w:szCs w:val="28"/>
          <w:highlight w:val="none"/>
        </w:rPr>
        <w:t>（二）成交供应商投标文件</w:t>
      </w:r>
    </w:p>
    <w:p>
      <w:pPr>
        <w:rPr>
          <w:color w:val="auto"/>
          <w:sz w:val="28"/>
          <w:szCs w:val="28"/>
          <w:highlight w:val="none"/>
        </w:rPr>
      </w:pPr>
      <w:r>
        <w:rPr>
          <w:rFonts w:hint="eastAsia"/>
          <w:color w:val="auto"/>
          <w:sz w:val="28"/>
          <w:szCs w:val="28"/>
          <w:highlight w:val="none"/>
        </w:rPr>
        <w:t>（三）成交供应商在评审过程中做出的书面澄清或承诺</w:t>
      </w:r>
    </w:p>
    <w:p>
      <w:pPr>
        <w:rPr>
          <w:color w:val="auto"/>
          <w:sz w:val="28"/>
          <w:szCs w:val="28"/>
          <w:highlight w:val="none"/>
        </w:rPr>
      </w:pPr>
      <w:r>
        <w:rPr>
          <w:rFonts w:hint="eastAsia"/>
          <w:color w:val="auto"/>
          <w:sz w:val="28"/>
          <w:szCs w:val="28"/>
          <w:highlight w:val="none"/>
        </w:rPr>
        <w:t>（四）中标通知书</w:t>
      </w:r>
    </w:p>
    <w:p>
      <w:pPr>
        <w:rPr>
          <w:color w:val="auto"/>
          <w:sz w:val="28"/>
          <w:szCs w:val="28"/>
          <w:highlight w:val="none"/>
        </w:rPr>
      </w:pPr>
      <w:r>
        <w:rPr>
          <w:rFonts w:hint="eastAsia"/>
          <w:color w:val="auto"/>
          <w:sz w:val="28"/>
          <w:szCs w:val="28"/>
          <w:highlight w:val="none"/>
        </w:rPr>
        <w:t>（五）本合同附件</w:t>
      </w:r>
    </w:p>
    <w:p>
      <w:pPr>
        <w:rPr>
          <w:color w:val="auto"/>
          <w:sz w:val="28"/>
          <w:szCs w:val="28"/>
          <w:highlight w:val="none"/>
        </w:rPr>
      </w:pPr>
      <w:r>
        <w:rPr>
          <w:rFonts w:hint="eastAsia"/>
          <w:color w:val="auto"/>
          <w:sz w:val="28"/>
          <w:szCs w:val="28"/>
          <w:highlight w:val="none"/>
        </w:rPr>
        <w:t>二、合同的范围和条件</w:t>
      </w:r>
    </w:p>
    <w:p>
      <w:pPr>
        <w:rPr>
          <w:color w:val="auto"/>
          <w:sz w:val="28"/>
          <w:szCs w:val="28"/>
          <w:highlight w:val="none"/>
        </w:rPr>
      </w:pPr>
      <w:r>
        <w:rPr>
          <w:rFonts w:hint="eastAsia"/>
          <w:color w:val="auto"/>
          <w:sz w:val="28"/>
          <w:szCs w:val="28"/>
          <w:highlight w:val="none"/>
        </w:rPr>
        <w:t>本合同的范围和条件应与上述文件的规定相一致。</w:t>
      </w:r>
    </w:p>
    <w:p>
      <w:pPr>
        <w:rPr>
          <w:color w:val="auto"/>
          <w:sz w:val="28"/>
          <w:szCs w:val="28"/>
          <w:highlight w:val="none"/>
        </w:rPr>
      </w:pPr>
      <w:r>
        <w:rPr>
          <w:rFonts w:hint="eastAsia"/>
          <w:color w:val="auto"/>
          <w:sz w:val="28"/>
          <w:szCs w:val="28"/>
          <w:highlight w:val="none"/>
        </w:rPr>
        <w:t>本合同“甲方”系指济宁医学院。</w:t>
      </w:r>
    </w:p>
    <w:p>
      <w:pPr>
        <w:rPr>
          <w:color w:val="auto"/>
          <w:sz w:val="28"/>
          <w:szCs w:val="28"/>
          <w:highlight w:val="none"/>
        </w:rPr>
      </w:pPr>
      <w:r>
        <w:rPr>
          <w:rFonts w:hint="eastAsia"/>
          <w:color w:val="auto"/>
          <w:sz w:val="28"/>
          <w:szCs w:val="28"/>
          <w:highlight w:val="none"/>
        </w:rPr>
        <w:t>本合同“乙方”系指通过本次招标取得资格的成交供应商。</w:t>
      </w:r>
    </w:p>
    <w:p>
      <w:pPr>
        <w:rPr>
          <w:color w:val="auto"/>
          <w:sz w:val="28"/>
          <w:szCs w:val="28"/>
          <w:highlight w:val="none"/>
        </w:rPr>
      </w:pPr>
      <w:r>
        <w:rPr>
          <w:rFonts w:hint="eastAsia"/>
          <w:color w:val="auto"/>
          <w:sz w:val="28"/>
          <w:szCs w:val="28"/>
          <w:highlight w:val="none"/>
        </w:rPr>
        <w:t>三、服务内容及条件：</w:t>
      </w:r>
    </w:p>
    <w:p>
      <w:pPr>
        <w:rPr>
          <w:color w:val="auto"/>
          <w:sz w:val="28"/>
          <w:szCs w:val="28"/>
          <w:highlight w:val="none"/>
        </w:rPr>
      </w:pPr>
      <w:r>
        <w:rPr>
          <w:rFonts w:hint="eastAsia"/>
          <w:color w:val="auto"/>
          <w:sz w:val="28"/>
          <w:szCs w:val="28"/>
          <w:highlight w:val="none"/>
        </w:rPr>
        <w:t>（一）维修车辆:</w:t>
      </w:r>
    </w:p>
    <w:p>
      <w:pPr>
        <w:rPr>
          <w:color w:val="auto"/>
          <w:sz w:val="28"/>
          <w:szCs w:val="28"/>
          <w:highlight w:val="none"/>
        </w:rPr>
      </w:pPr>
      <w:r>
        <w:rPr>
          <w:rFonts w:hint="eastAsia"/>
          <w:color w:val="auto"/>
          <w:sz w:val="28"/>
          <w:szCs w:val="28"/>
          <w:highlight w:val="none"/>
        </w:rPr>
        <w:t>采购文件中列明的车辆清单</w:t>
      </w:r>
    </w:p>
    <w:p>
      <w:pPr>
        <w:rPr>
          <w:color w:val="auto"/>
          <w:sz w:val="28"/>
          <w:szCs w:val="28"/>
          <w:highlight w:val="none"/>
        </w:rPr>
      </w:pPr>
      <w:r>
        <w:rPr>
          <w:rFonts w:hint="eastAsia"/>
          <w:color w:val="auto"/>
          <w:sz w:val="28"/>
          <w:szCs w:val="28"/>
          <w:highlight w:val="none"/>
        </w:rPr>
        <w:t>（二）维修标准执行：</w:t>
      </w:r>
    </w:p>
    <w:p>
      <w:pPr>
        <w:rPr>
          <w:color w:val="auto"/>
          <w:sz w:val="28"/>
          <w:szCs w:val="28"/>
          <w:highlight w:val="none"/>
        </w:rPr>
      </w:pPr>
      <w:r>
        <w:rPr>
          <w:rFonts w:hint="eastAsia"/>
          <w:color w:val="auto"/>
          <w:sz w:val="28"/>
          <w:szCs w:val="28"/>
          <w:highlight w:val="none"/>
        </w:rPr>
        <w:t>应按国家交通部、山东省、济宁市有关规定和标准执行，执行国标《机动车安全运行条件》、《中华人民共和国道路运输条例》、交通部《机动车维修管理规定》及其它有关车辆维修的管理规定和标准。</w:t>
      </w:r>
    </w:p>
    <w:p>
      <w:pPr>
        <w:rPr>
          <w:color w:val="auto"/>
          <w:sz w:val="28"/>
          <w:szCs w:val="28"/>
          <w:highlight w:val="none"/>
        </w:rPr>
      </w:pPr>
      <w:r>
        <w:rPr>
          <w:rFonts w:hint="eastAsia"/>
          <w:color w:val="auto"/>
          <w:sz w:val="28"/>
          <w:szCs w:val="28"/>
          <w:highlight w:val="none"/>
        </w:rPr>
        <w:t>（三）维修费用：</w:t>
      </w:r>
    </w:p>
    <w:p>
      <w:pPr>
        <w:rPr>
          <w:color w:val="auto"/>
          <w:sz w:val="28"/>
          <w:szCs w:val="28"/>
          <w:highlight w:val="none"/>
        </w:rPr>
      </w:pPr>
      <w:r>
        <w:rPr>
          <w:rFonts w:hint="eastAsia"/>
          <w:color w:val="auto"/>
          <w:sz w:val="28"/>
          <w:szCs w:val="28"/>
          <w:highlight w:val="none"/>
        </w:rPr>
        <w:t>零配件进货价或工时单价如在合同期间内发生变动，凡在零配件进货价或工时单价变动后维修的车辆，若变动后的零配件进货价或工时单价低于本合同约定的价格时，按新的价格计算维修费用，但加价率不变；若变动后的零配件进货价或工时单价高于本合同约定的价格时，仍按本合同约定。</w:t>
      </w:r>
    </w:p>
    <w:p>
      <w:pPr>
        <w:rPr>
          <w:color w:val="auto"/>
          <w:sz w:val="28"/>
          <w:szCs w:val="28"/>
          <w:highlight w:val="none"/>
        </w:rPr>
      </w:pPr>
      <w:r>
        <w:rPr>
          <w:rFonts w:hint="eastAsia"/>
          <w:color w:val="auto"/>
          <w:sz w:val="28"/>
          <w:szCs w:val="28"/>
          <w:highlight w:val="none"/>
        </w:rPr>
        <w:t>四、甲方的权利与义务</w:t>
      </w:r>
    </w:p>
    <w:p>
      <w:pPr>
        <w:rPr>
          <w:color w:val="auto"/>
          <w:sz w:val="28"/>
          <w:szCs w:val="28"/>
          <w:highlight w:val="none"/>
        </w:rPr>
      </w:pPr>
      <w:r>
        <w:rPr>
          <w:rFonts w:hint="eastAsia"/>
          <w:color w:val="auto"/>
          <w:sz w:val="28"/>
          <w:szCs w:val="28"/>
          <w:highlight w:val="none"/>
        </w:rPr>
        <w:t>（一）甲方有权依据相关的车辆维修的管理规定和标准享受相应的权益。</w:t>
      </w:r>
    </w:p>
    <w:p>
      <w:pPr>
        <w:rPr>
          <w:color w:val="auto"/>
          <w:sz w:val="28"/>
          <w:szCs w:val="28"/>
          <w:highlight w:val="none"/>
        </w:rPr>
      </w:pPr>
      <w:r>
        <w:rPr>
          <w:rFonts w:hint="eastAsia"/>
          <w:color w:val="auto"/>
          <w:sz w:val="28"/>
          <w:szCs w:val="28"/>
          <w:highlight w:val="none"/>
        </w:rPr>
        <w:t>（二）甲方有权对乙方的维修服务履约情况进行监督。</w:t>
      </w:r>
    </w:p>
    <w:p>
      <w:pPr>
        <w:rPr>
          <w:color w:val="auto"/>
          <w:sz w:val="28"/>
          <w:szCs w:val="28"/>
          <w:highlight w:val="none"/>
        </w:rPr>
      </w:pPr>
      <w:r>
        <w:rPr>
          <w:rFonts w:hint="eastAsia"/>
          <w:color w:val="auto"/>
          <w:sz w:val="28"/>
          <w:szCs w:val="28"/>
          <w:highlight w:val="none"/>
        </w:rPr>
        <w:t>（三）甲方享受乙方提供的其它承诺性服务。</w:t>
      </w:r>
    </w:p>
    <w:p>
      <w:pPr>
        <w:rPr>
          <w:color w:val="auto"/>
          <w:sz w:val="28"/>
          <w:szCs w:val="28"/>
          <w:highlight w:val="none"/>
        </w:rPr>
      </w:pPr>
      <w:r>
        <w:rPr>
          <w:rFonts w:hint="eastAsia"/>
          <w:color w:val="auto"/>
          <w:sz w:val="28"/>
          <w:szCs w:val="28"/>
          <w:highlight w:val="none"/>
        </w:rPr>
        <w:t>（四）送修方有如实提供车辆相关维修信息的义务。</w:t>
      </w:r>
    </w:p>
    <w:p>
      <w:pPr>
        <w:rPr>
          <w:color w:val="auto"/>
          <w:sz w:val="28"/>
          <w:szCs w:val="28"/>
          <w:highlight w:val="none"/>
        </w:rPr>
      </w:pPr>
      <w:r>
        <w:rPr>
          <w:rFonts w:hint="eastAsia"/>
          <w:color w:val="auto"/>
          <w:sz w:val="28"/>
          <w:szCs w:val="28"/>
          <w:highlight w:val="none"/>
        </w:rPr>
        <w:t>（五）送修方应及时支付维修费用。</w:t>
      </w:r>
    </w:p>
    <w:p>
      <w:pPr>
        <w:rPr>
          <w:color w:val="auto"/>
          <w:sz w:val="28"/>
          <w:szCs w:val="28"/>
          <w:highlight w:val="none"/>
        </w:rPr>
      </w:pPr>
      <w:r>
        <w:rPr>
          <w:rFonts w:hint="eastAsia"/>
          <w:color w:val="auto"/>
          <w:sz w:val="28"/>
          <w:szCs w:val="28"/>
          <w:highlight w:val="none"/>
        </w:rPr>
        <w:t>（六）甲方对整个项目的车辆维修服务过程中所涉及的乙方商业机密负有保密义务。</w:t>
      </w:r>
    </w:p>
    <w:p>
      <w:pPr>
        <w:rPr>
          <w:color w:val="auto"/>
          <w:sz w:val="28"/>
          <w:szCs w:val="28"/>
          <w:highlight w:val="none"/>
        </w:rPr>
      </w:pPr>
      <w:r>
        <w:rPr>
          <w:rFonts w:hint="eastAsia"/>
          <w:color w:val="auto"/>
          <w:sz w:val="28"/>
          <w:szCs w:val="28"/>
          <w:highlight w:val="none"/>
        </w:rPr>
        <w:t>五、乙方的权利与义务</w:t>
      </w:r>
    </w:p>
    <w:p>
      <w:pPr>
        <w:rPr>
          <w:color w:val="auto"/>
          <w:sz w:val="28"/>
          <w:szCs w:val="28"/>
          <w:highlight w:val="none"/>
        </w:rPr>
      </w:pPr>
      <w:r>
        <w:rPr>
          <w:rFonts w:hint="eastAsia"/>
          <w:color w:val="auto"/>
          <w:sz w:val="28"/>
          <w:szCs w:val="28"/>
          <w:highlight w:val="none"/>
        </w:rPr>
        <w:t>（一）乙方应根据合同约定忠实履行车辆维修义务。</w:t>
      </w:r>
    </w:p>
    <w:p>
      <w:pPr>
        <w:rPr>
          <w:color w:val="auto"/>
          <w:sz w:val="28"/>
          <w:szCs w:val="28"/>
          <w:highlight w:val="none"/>
        </w:rPr>
      </w:pPr>
      <w:r>
        <w:rPr>
          <w:rFonts w:hint="eastAsia"/>
          <w:color w:val="auto"/>
          <w:sz w:val="28"/>
          <w:szCs w:val="28"/>
          <w:highlight w:val="none"/>
        </w:rPr>
        <w:t>（二）乙方应根据合同约定认真履行各项服务承诺（含个性化增值服务）。</w:t>
      </w:r>
    </w:p>
    <w:p>
      <w:pPr>
        <w:rPr>
          <w:color w:val="auto"/>
          <w:sz w:val="28"/>
          <w:szCs w:val="28"/>
          <w:highlight w:val="none"/>
        </w:rPr>
      </w:pPr>
      <w:r>
        <w:rPr>
          <w:rFonts w:hint="eastAsia"/>
          <w:color w:val="auto"/>
          <w:sz w:val="28"/>
          <w:szCs w:val="28"/>
          <w:highlight w:val="none"/>
        </w:rPr>
        <w:t>（三）乙方应自觉接受甲方的管理，严格执行相关的管理规定。</w:t>
      </w:r>
    </w:p>
    <w:p>
      <w:pPr>
        <w:rPr>
          <w:color w:val="auto"/>
          <w:sz w:val="28"/>
          <w:szCs w:val="28"/>
          <w:highlight w:val="none"/>
        </w:rPr>
      </w:pPr>
      <w:r>
        <w:rPr>
          <w:rFonts w:hint="eastAsia"/>
          <w:color w:val="auto"/>
          <w:sz w:val="28"/>
          <w:szCs w:val="28"/>
          <w:highlight w:val="none"/>
        </w:rPr>
        <w:t>（四）乙方有义务按照甲方要求，如实按月报送车辆维修等业务数据。</w:t>
      </w:r>
    </w:p>
    <w:p>
      <w:pPr>
        <w:rPr>
          <w:color w:val="auto"/>
          <w:sz w:val="28"/>
          <w:szCs w:val="28"/>
          <w:highlight w:val="none"/>
        </w:rPr>
      </w:pPr>
      <w:r>
        <w:rPr>
          <w:rFonts w:hint="eastAsia"/>
          <w:color w:val="auto"/>
          <w:sz w:val="28"/>
          <w:szCs w:val="28"/>
          <w:highlight w:val="none"/>
        </w:rPr>
        <w:t>（五）乙方对整个车辆维修服务过程中所涉及的甲方商业机密负有保密义务。</w:t>
      </w:r>
    </w:p>
    <w:p>
      <w:pPr>
        <w:rPr>
          <w:color w:val="auto"/>
          <w:sz w:val="28"/>
          <w:szCs w:val="28"/>
          <w:highlight w:val="none"/>
        </w:rPr>
      </w:pPr>
      <w:r>
        <w:rPr>
          <w:rFonts w:hint="eastAsia"/>
          <w:color w:val="auto"/>
          <w:sz w:val="28"/>
          <w:szCs w:val="28"/>
          <w:highlight w:val="none"/>
        </w:rPr>
        <w:t>六、合同期限</w:t>
      </w:r>
    </w:p>
    <w:p>
      <w:pPr>
        <w:rPr>
          <w:color w:val="auto"/>
          <w:sz w:val="28"/>
          <w:szCs w:val="28"/>
          <w:highlight w:val="none"/>
          <w:u w:val="single"/>
        </w:rPr>
      </w:pPr>
      <w:r>
        <w:rPr>
          <w:rFonts w:hint="eastAsia"/>
          <w:color w:val="auto"/>
          <w:sz w:val="28"/>
          <w:szCs w:val="28"/>
          <w:highlight w:val="none"/>
        </w:rPr>
        <w:t>本协议有效期为自</w:t>
      </w:r>
      <w:r>
        <w:rPr>
          <w:rFonts w:hint="eastAsia"/>
          <w:color w:val="auto"/>
          <w:sz w:val="28"/>
          <w:szCs w:val="28"/>
          <w:highlight w:val="none"/>
          <w:u w:val="single"/>
        </w:rPr>
        <w:t xml:space="preserve"> 年 月 日至 年  月 日。</w:t>
      </w:r>
    </w:p>
    <w:p>
      <w:pPr>
        <w:rPr>
          <w:color w:val="auto"/>
          <w:sz w:val="28"/>
          <w:szCs w:val="28"/>
          <w:highlight w:val="none"/>
        </w:rPr>
      </w:pPr>
      <w:r>
        <w:rPr>
          <w:rFonts w:hint="eastAsia"/>
          <w:color w:val="auto"/>
          <w:sz w:val="28"/>
          <w:szCs w:val="28"/>
          <w:highlight w:val="none"/>
        </w:rPr>
        <w:t>七、车辆维修管理</w:t>
      </w:r>
    </w:p>
    <w:p>
      <w:pPr>
        <w:rPr>
          <w:color w:val="auto"/>
          <w:sz w:val="28"/>
          <w:szCs w:val="28"/>
          <w:highlight w:val="none"/>
        </w:rPr>
      </w:pPr>
      <w:r>
        <w:rPr>
          <w:rFonts w:hint="eastAsia"/>
          <w:color w:val="auto"/>
          <w:sz w:val="28"/>
          <w:szCs w:val="28"/>
          <w:highlight w:val="none"/>
        </w:rPr>
        <w:t>（一）凡公务车辆进场维修，乙方应专门、及时、如实登记，登记内容包括车属单位、车型、车牌号码、送修时间、维修项目、驾驶人等；</w:t>
      </w:r>
    </w:p>
    <w:p>
      <w:pPr>
        <w:rPr>
          <w:color w:val="auto"/>
          <w:sz w:val="28"/>
          <w:szCs w:val="28"/>
          <w:highlight w:val="none"/>
        </w:rPr>
      </w:pPr>
      <w:r>
        <w:rPr>
          <w:rFonts w:hint="eastAsia"/>
          <w:color w:val="auto"/>
          <w:sz w:val="28"/>
          <w:szCs w:val="28"/>
          <w:highlight w:val="none"/>
        </w:rPr>
        <w:t>（二）乙方应保证送修车辆的安全，如乙方原因造成的损失要全额赔偿；</w:t>
      </w:r>
    </w:p>
    <w:p>
      <w:pPr>
        <w:rPr>
          <w:color w:val="auto"/>
          <w:sz w:val="28"/>
          <w:szCs w:val="28"/>
          <w:highlight w:val="none"/>
        </w:rPr>
      </w:pPr>
      <w:r>
        <w:rPr>
          <w:rFonts w:hint="eastAsia"/>
          <w:color w:val="auto"/>
          <w:sz w:val="28"/>
          <w:szCs w:val="28"/>
          <w:highlight w:val="none"/>
        </w:rPr>
        <w:t>（三）乙方要对所修车辆建立好维修档案，认真做好各项记录，妥善保管原始单据，做好跟踪服务工作。</w:t>
      </w:r>
    </w:p>
    <w:p>
      <w:pPr>
        <w:rPr>
          <w:color w:val="auto"/>
          <w:sz w:val="28"/>
          <w:szCs w:val="28"/>
          <w:highlight w:val="none"/>
        </w:rPr>
      </w:pPr>
      <w:r>
        <w:rPr>
          <w:rFonts w:hint="eastAsia"/>
          <w:color w:val="auto"/>
          <w:sz w:val="28"/>
          <w:szCs w:val="28"/>
          <w:highlight w:val="none"/>
        </w:rPr>
        <w:t>（四）乙方保证每个季度结束后 7 个工作日内，将上季度汽车定点维修情况统计表及时送达济宁医学院</w:t>
      </w:r>
      <w:r>
        <w:rPr>
          <w:rFonts w:hint="eastAsia"/>
          <w:color w:val="auto"/>
          <w:sz w:val="28"/>
          <w:szCs w:val="28"/>
          <w:highlight w:val="none"/>
          <w:lang w:eastAsia="zh-CN"/>
        </w:rPr>
        <w:t>日照校区</w:t>
      </w:r>
      <w:r>
        <w:rPr>
          <w:rFonts w:hint="eastAsia"/>
          <w:color w:val="auto"/>
          <w:sz w:val="28"/>
          <w:szCs w:val="28"/>
          <w:highlight w:val="none"/>
        </w:rPr>
        <w:t>。</w:t>
      </w:r>
    </w:p>
    <w:p>
      <w:pPr>
        <w:rPr>
          <w:color w:val="auto"/>
          <w:sz w:val="28"/>
          <w:szCs w:val="28"/>
          <w:highlight w:val="none"/>
        </w:rPr>
      </w:pPr>
      <w:r>
        <w:rPr>
          <w:rFonts w:hint="eastAsia"/>
          <w:color w:val="auto"/>
          <w:sz w:val="28"/>
          <w:szCs w:val="28"/>
          <w:highlight w:val="none"/>
        </w:rPr>
        <w:t>八、质量保证</w:t>
      </w:r>
    </w:p>
    <w:p>
      <w:pPr>
        <w:rPr>
          <w:color w:val="auto"/>
          <w:sz w:val="28"/>
          <w:szCs w:val="28"/>
          <w:highlight w:val="none"/>
        </w:rPr>
      </w:pPr>
      <w:r>
        <w:rPr>
          <w:rFonts w:hint="eastAsia"/>
          <w:color w:val="auto"/>
          <w:sz w:val="28"/>
          <w:szCs w:val="28"/>
          <w:highlight w:val="none"/>
        </w:rPr>
        <w:t>（一）乙方在车辆维修出厂后，执行质量保证期制度。在质量保证期内，因维修质量或配件质量引发的故障或损坏，由乙方无偿返修，因质量因素引发事故的有关损失由乙方负责。</w:t>
      </w:r>
    </w:p>
    <w:p>
      <w:pPr>
        <w:rPr>
          <w:color w:val="auto"/>
          <w:sz w:val="28"/>
          <w:szCs w:val="28"/>
          <w:highlight w:val="none"/>
        </w:rPr>
      </w:pPr>
      <w:r>
        <w:rPr>
          <w:rFonts w:hint="eastAsia"/>
          <w:color w:val="auto"/>
          <w:sz w:val="28"/>
          <w:szCs w:val="28"/>
          <w:highlight w:val="none"/>
        </w:rPr>
        <w:t>（二）在送修方和乙方双方约定的质量保证里程或时间内，因维修质量造成的车辆事故由承修单位承担责任（由于甲方人为因素除外）。经济损失按事故大小按有关法定标准执行。</w:t>
      </w:r>
    </w:p>
    <w:p>
      <w:pPr>
        <w:rPr>
          <w:color w:val="auto"/>
          <w:sz w:val="28"/>
          <w:szCs w:val="28"/>
          <w:highlight w:val="none"/>
        </w:rPr>
      </w:pPr>
      <w:r>
        <w:rPr>
          <w:rFonts w:hint="eastAsia"/>
          <w:color w:val="auto"/>
          <w:sz w:val="28"/>
          <w:szCs w:val="28"/>
          <w:highlight w:val="none"/>
        </w:rPr>
        <w:t>（三）维修合格出厂车辆的质量保证里程或时间详见乙方提供的质量保证书。</w:t>
      </w:r>
    </w:p>
    <w:p>
      <w:pPr>
        <w:rPr>
          <w:color w:val="auto"/>
          <w:sz w:val="28"/>
          <w:szCs w:val="28"/>
          <w:highlight w:val="none"/>
        </w:rPr>
      </w:pPr>
      <w:r>
        <w:rPr>
          <w:rFonts w:hint="eastAsia"/>
          <w:color w:val="auto"/>
          <w:sz w:val="28"/>
          <w:szCs w:val="28"/>
          <w:highlight w:val="none"/>
        </w:rPr>
        <w:t>（四）乙方应保证维修所用材料是未使用过的原厂生产的合格正品，并完全符合合同规定的质量和性能的要求。乙方应保证使用的维修材料在正确安装、正常使用和保养条件下，在其使用寿命期内应具有满</w:t>
      </w:r>
    </w:p>
    <w:p>
      <w:pPr>
        <w:rPr>
          <w:color w:val="auto"/>
          <w:sz w:val="28"/>
          <w:szCs w:val="28"/>
          <w:highlight w:val="none"/>
        </w:rPr>
      </w:pPr>
      <w:r>
        <w:rPr>
          <w:rFonts w:hint="eastAsia"/>
          <w:color w:val="auto"/>
          <w:sz w:val="28"/>
          <w:szCs w:val="28"/>
          <w:highlight w:val="none"/>
        </w:rPr>
        <w:t>意的性能。维修竣工车辆移交给送修方后，在质量保证期内，乙方应对由于维修技术、工艺或维修材料的缺陷以及其他按国家交通管理部门颁布的法令法规规定应由乙方负责的，费用由乙方负担。根据法定检验机构的检验结果或者在质量保证里程或时间内，如果证明维修是有缺陷的，包括潜在的缺陷或使用不符合要求的维修材料等，送修方以书面形式向乙方提出本保证下的索赔。</w:t>
      </w:r>
    </w:p>
    <w:p>
      <w:pPr>
        <w:rPr>
          <w:color w:val="auto"/>
          <w:sz w:val="28"/>
          <w:szCs w:val="28"/>
          <w:highlight w:val="none"/>
        </w:rPr>
      </w:pPr>
      <w:r>
        <w:rPr>
          <w:rFonts w:hint="eastAsia"/>
          <w:color w:val="auto"/>
          <w:sz w:val="28"/>
          <w:szCs w:val="28"/>
          <w:highlight w:val="none"/>
        </w:rPr>
        <w:t>（五）如果乙方在收到索赔通知后，在合同中所附服务承诺约定的时间内没有采取措施，甲方可采取必要的补救措施，但风险和费用将由乙方承担。</w:t>
      </w:r>
    </w:p>
    <w:p>
      <w:pPr>
        <w:rPr>
          <w:color w:val="auto"/>
          <w:sz w:val="28"/>
          <w:szCs w:val="28"/>
          <w:highlight w:val="none"/>
        </w:rPr>
      </w:pPr>
      <w:r>
        <w:rPr>
          <w:rFonts w:hint="eastAsia"/>
          <w:color w:val="auto"/>
          <w:sz w:val="28"/>
          <w:szCs w:val="28"/>
          <w:highlight w:val="none"/>
        </w:rPr>
        <w:t>九、履约行为处罚</w:t>
      </w:r>
    </w:p>
    <w:p>
      <w:pPr>
        <w:rPr>
          <w:color w:val="auto"/>
          <w:sz w:val="28"/>
          <w:szCs w:val="28"/>
          <w:highlight w:val="none"/>
        </w:rPr>
      </w:pPr>
      <w:r>
        <w:rPr>
          <w:rFonts w:hint="eastAsia"/>
          <w:color w:val="auto"/>
          <w:sz w:val="28"/>
          <w:szCs w:val="28"/>
          <w:highlight w:val="none"/>
        </w:rPr>
        <w:t>（一）在本合同履行过程中，甲方将不定期的对乙方执行协议的情况进行核实，如乙方有下列情形之一的，经调查核实，将取消其协议服务单位资格。</w:t>
      </w:r>
    </w:p>
    <w:p>
      <w:pPr>
        <w:rPr>
          <w:color w:val="auto"/>
          <w:sz w:val="28"/>
          <w:szCs w:val="28"/>
          <w:highlight w:val="none"/>
        </w:rPr>
      </w:pPr>
      <w:r>
        <w:rPr>
          <w:rFonts w:hint="eastAsia"/>
          <w:color w:val="auto"/>
          <w:sz w:val="28"/>
          <w:szCs w:val="28"/>
          <w:highlight w:val="none"/>
        </w:rPr>
        <w:t>1、企业在投标过程中弄虚作假，取得中标资格的；</w:t>
      </w:r>
    </w:p>
    <w:p>
      <w:pPr>
        <w:rPr>
          <w:color w:val="auto"/>
          <w:sz w:val="28"/>
          <w:szCs w:val="28"/>
          <w:highlight w:val="none"/>
        </w:rPr>
      </w:pPr>
      <w:r>
        <w:rPr>
          <w:rFonts w:hint="eastAsia"/>
          <w:color w:val="auto"/>
          <w:sz w:val="28"/>
          <w:szCs w:val="28"/>
          <w:highlight w:val="none"/>
        </w:rPr>
        <w:t>2、违反国家规定或协议承诺的质量标准，以次充好、提供假冒伪劣配件的；</w:t>
      </w:r>
    </w:p>
    <w:p>
      <w:pPr>
        <w:rPr>
          <w:color w:val="auto"/>
          <w:sz w:val="28"/>
          <w:szCs w:val="28"/>
          <w:highlight w:val="none"/>
        </w:rPr>
      </w:pPr>
      <w:r>
        <w:rPr>
          <w:rFonts w:hint="eastAsia"/>
          <w:color w:val="auto"/>
          <w:sz w:val="28"/>
          <w:szCs w:val="28"/>
          <w:highlight w:val="none"/>
        </w:rPr>
        <w:t>3、因乙方维修质量问题，导致甲方车辆出现事故造成重大损失的。</w:t>
      </w:r>
    </w:p>
    <w:p>
      <w:pPr>
        <w:rPr>
          <w:color w:val="auto"/>
          <w:sz w:val="28"/>
          <w:szCs w:val="28"/>
          <w:highlight w:val="none"/>
        </w:rPr>
      </w:pPr>
      <w:r>
        <w:rPr>
          <w:rFonts w:hint="eastAsia"/>
          <w:color w:val="auto"/>
          <w:sz w:val="28"/>
          <w:szCs w:val="28"/>
          <w:highlight w:val="none"/>
        </w:rPr>
        <w:t>4、为甲方开具虚假发票的；</w:t>
      </w:r>
    </w:p>
    <w:p>
      <w:pPr>
        <w:rPr>
          <w:color w:val="auto"/>
          <w:sz w:val="28"/>
          <w:szCs w:val="28"/>
          <w:highlight w:val="none"/>
        </w:rPr>
      </w:pPr>
      <w:r>
        <w:rPr>
          <w:rFonts w:hint="eastAsia"/>
          <w:color w:val="auto"/>
          <w:sz w:val="28"/>
          <w:szCs w:val="28"/>
          <w:highlight w:val="none"/>
        </w:rPr>
        <w:t>5、未按规定进行优惠，擅自提高车辆维修价格的；</w:t>
      </w:r>
    </w:p>
    <w:p>
      <w:pPr>
        <w:rPr>
          <w:color w:val="auto"/>
          <w:sz w:val="28"/>
          <w:szCs w:val="28"/>
          <w:highlight w:val="none"/>
        </w:rPr>
      </w:pPr>
      <w:r>
        <w:rPr>
          <w:rFonts w:hint="eastAsia"/>
          <w:color w:val="auto"/>
          <w:sz w:val="28"/>
          <w:szCs w:val="28"/>
          <w:highlight w:val="none"/>
        </w:rPr>
        <w:t>6、其他严重违反法律、法规的行为。</w:t>
      </w:r>
    </w:p>
    <w:p>
      <w:pPr>
        <w:rPr>
          <w:color w:val="auto"/>
          <w:sz w:val="28"/>
          <w:szCs w:val="28"/>
          <w:highlight w:val="none"/>
        </w:rPr>
      </w:pPr>
      <w:r>
        <w:rPr>
          <w:rFonts w:hint="eastAsia"/>
          <w:color w:val="auto"/>
          <w:sz w:val="28"/>
          <w:szCs w:val="28"/>
          <w:highlight w:val="none"/>
        </w:rPr>
        <w:t>十、索 赔</w:t>
      </w:r>
    </w:p>
    <w:p>
      <w:pPr>
        <w:rPr>
          <w:color w:val="auto"/>
          <w:sz w:val="28"/>
          <w:szCs w:val="28"/>
          <w:highlight w:val="none"/>
        </w:rPr>
      </w:pPr>
      <w:r>
        <w:rPr>
          <w:rFonts w:hint="eastAsia"/>
          <w:color w:val="auto"/>
          <w:sz w:val="28"/>
          <w:szCs w:val="28"/>
          <w:highlight w:val="none"/>
        </w:rPr>
        <w:t>（一）甲方有权根据行业管理部门出具的车辆维修质量检验报告，向乙方提出索赔。</w:t>
      </w:r>
    </w:p>
    <w:p>
      <w:pPr>
        <w:rPr>
          <w:color w:val="auto"/>
          <w:sz w:val="28"/>
          <w:szCs w:val="28"/>
          <w:highlight w:val="none"/>
        </w:rPr>
      </w:pPr>
      <w:r>
        <w:rPr>
          <w:rFonts w:hint="eastAsia"/>
          <w:color w:val="auto"/>
          <w:sz w:val="28"/>
          <w:szCs w:val="28"/>
          <w:highlight w:val="none"/>
        </w:rPr>
        <w:t>（二）据合同规定的质量保证里程或时间内，如果乙方对甲方提出的索赔负有责任，乙方应按照甲方的下列一种或多种方式解决索赔事宜：</w:t>
      </w:r>
    </w:p>
    <w:p>
      <w:pPr>
        <w:rPr>
          <w:color w:val="auto"/>
          <w:sz w:val="28"/>
          <w:szCs w:val="28"/>
          <w:highlight w:val="none"/>
        </w:rPr>
      </w:pPr>
      <w:r>
        <w:rPr>
          <w:rFonts w:hint="eastAsia"/>
          <w:color w:val="auto"/>
          <w:sz w:val="28"/>
          <w:szCs w:val="28"/>
          <w:highlight w:val="none"/>
        </w:rPr>
        <w:t>（1）、乙方同意用合同中规定的货币将维修费用退还给甲方，同时在规定时间内免费提供维修服务，并承担由此发生的损失和费用，其标准按国家交通主管部门颁布的有关法令、法规进行。</w:t>
      </w:r>
    </w:p>
    <w:p>
      <w:pPr>
        <w:rPr>
          <w:color w:val="auto"/>
          <w:sz w:val="28"/>
          <w:szCs w:val="28"/>
          <w:highlight w:val="none"/>
        </w:rPr>
      </w:pPr>
      <w:r>
        <w:rPr>
          <w:rFonts w:hint="eastAsia"/>
          <w:color w:val="auto"/>
          <w:sz w:val="28"/>
          <w:szCs w:val="28"/>
          <w:highlight w:val="none"/>
        </w:rPr>
        <w:t>（2）、根据维修材料的低劣程度，以及送修方所遭受损失的数额，乙方必须按甲方所能接受的数额，退还部分维修费用，并用符合合同规定的规格、质量和性能要求的全新的原装合格品免费予以更换。</w:t>
      </w:r>
    </w:p>
    <w:p>
      <w:pPr>
        <w:rPr>
          <w:color w:val="auto"/>
          <w:sz w:val="28"/>
          <w:szCs w:val="28"/>
          <w:highlight w:val="none"/>
        </w:rPr>
      </w:pPr>
      <w:r>
        <w:rPr>
          <w:rFonts w:hint="eastAsia"/>
          <w:color w:val="auto"/>
          <w:sz w:val="28"/>
          <w:szCs w:val="28"/>
          <w:highlight w:val="none"/>
        </w:rPr>
        <w:t>（3）、用符合合同规定的规格、质量和性能要求的新零件、部件和/或设备来更换和/或修补有缺陷的部分，乙方应承担一切费用和风险并负担甲方所蒙受的全部直接损失费用。同时，乙方应按合同规定，</w:t>
      </w:r>
    </w:p>
    <w:p>
      <w:pPr>
        <w:rPr>
          <w:color w:val="auto"/>
          <w:sz w:val="28"/>
          <w:szCs w:val="28"/>
          <w:highlight w:val="none"/>
        </w:rPr>
      </w:pPr>
      <w:r>
        <w:rPr>
          <w:rFonts w:hint="eastAsia"/>
          <w:color w:val="auto"/>
          <w:sz w:val="28"/>
          <w:szCs w:val="28"/>
          <w:highlight w:val="none"/>
        </w:rPr>
        <w:t>对修补和/或更换件相应延长质量保证期。</w:t>
      </w:r>
    </w:p>
    <w:p>
      <w:pPr>
        <w:rPr>
          <w:color w:val="auto"/>
          <w:sz w:val="28"/>
          <w:szCs w:val="28"/>
          <w:highlight w:val="none"/>
        </w:rPr>
      </w:pPr>
      <w:r>
        <w:rPr>
          <w:rFonts w:hint="eastAsia"/>
          <w:color w:val="auto"/>
          <w:sz w:val="28"/>
          <w:szCs w:val="28"/>
          <w:highlight w:val="none"/>
        </w:rPr>
        <w:t>（三）如果在甲方发出索赔通知后 5 天内，乙方未作答复，上述索赔应视为已被乙方接受，如乙方未能在甲方发出索赔通知后 10 天内或甲方同意的更长时间内，按照本合同规定的任何一种方法解决索赔事宜，甲方将采用法律手段解决索赔事宜。</w:t>
      </w:r>
    </w:p>
    <w:p>
      <w:pPr>
        <w:rPr>
          <w:color w:val="auto"/>
          <w:sz w:val="28"/>
          <w:szCs w:val="28"/>
          <w:highlight w:val="none"/>
        </w:rPr>
      </w:pPr>
      <w:r>
        <w:rPr>
          <w:rFonts w:hint="eastAsia"/>
          <w:color w:val="auto"/>
          <w:sz w:val="28"/>
          <w:szCs w:val="28"/>
          <w:highlight w:val="none"/>
        </w:rPr>
        <w:t>十一、乙方交货延误</w:t>
      </w:r>
    </w:p>
    <w:p>
      <w:pPr>
        <w:rPr>
          <w:color w:val="auto"/>
          <w:sz w:val="28"/>
          <w:szCs w:val="28"/>
          <w:highlight w:val="none"/>
        </w:rPr>
      </w:pPr>
      <w:r>
        <w:rPr>
          <w:rFonts w:hint="eastAsia"/>
          <w:color w:val="auto"/>
          <w:sz w:val="28"/>
          <w:szCs w:val="28"/>
          <w:highlight w:val="none"/>
        </w:rPr>
        <w:t>（一）乙方应按照与甲方协商的时间完成维修项目，并将竣工车辆交付甲方验收使用。</w:t>
      </w:r>
    </w:p>
    <w:p>
      <w:pPr>
        <w:rPr>
          <w:color w:val="auto"/>
          <w:sz w:val="28"/>
          <w:szCs w:val="28"/>
          <w:highlight w:val="none"/>
        </w:rPr>
      </w:pPr>
      <w:r>
        <w:rPr>
          <w:rFonts w:hint="eastAsia"/>
          <w:color w:val="auto"/>
          <w:sz w:val="28"/>
          <w:szCs w:val="28"/>
          <w:highlight w:val="none"/>
        </w:rPr>
        <w:t>（二）如果乙方无正当理由拖延维修时间或不按期办理车辆交接手续，将受到以下制裁：加收误期赔偿费，暂停或终止合同。</w:t>
      </w:r>
    </w:p>
    <w:p>
      <w:pPr>
        <w:rPr>
          <w:color w:val="auto"/>
          <w:sz w:val="28"/>
          <w:szCs w:val="28"/>
          <w:highlight w:val="none"/>
        </w:rPr>
      </w:pPr>
      <w:r>
        <w:rPr>
          <w:rFonts w:hint="eastAsia"/>
          <w:color w:val="auto"/>
          <w:sz w:val="28"/>
          <w:szCs w:val="28"/>
          <w:highlight w:val="none"/>
        </w:rPr>
        <w:t>（三）在履行合同过程中，如果乙方遇到不能按时完成维修项目或与甲方办理车辆交接的情况，应及时以书面形式将不能按时交货的理由、可能延误的时间通知甲方。甲方在收到乙方通知后，应对情况进行分析，决定是否修改维修项目、酌情延长维修时间或终止维修；同时保留对乙方进行制裁的权力。</w:t>
      </w:r>
    </w:p>
    <w:p>
      <w:pPr>
        <w:rPr>
          <w:color w:val="auto"/>
          <w:sz w:val="28"/>
          <w:szCs w:val="28"/>
          <w:highlight w:val="none"/>
        </w:rPr>
      </w:pPr>
      <w:r>
        <w:rPr>
          <w:rFonts w:hint="eastAsia"/>
          <w:color w:val="auto"/>
          <w:sz w:val="28"/>
          <w:szCs w:val="28"/>
          <w:highlight w:val="none"/>
        </w:rPr>
        <w:t>十二、误期赔偿</w:t>
      </w:r>
    </w:p>
    <w:p>
      <w:pPr>
        <w:rPr>
          <w:color w:val="auto"/>
          <w:sz w:val="28"/>
          <w:szCs w:val="28"/>
          <w:highlight w:val="none"/>
        </w:rPr>
      </w:pPr>
      <w:r>
        <w:rPr>
          <w:rFonts w:hint="eastAsia"/>
          <w:color w:val="auto"/>
          <w:sz w:val="28"/>
          <w:szCs w:val="28"/>
          <w:highlight w:val="none"/>
        </w:rPr>
        <w:t>除合同条款规定外，如果乙方没有按照送修单规定的时间完成维修工作，乙方应向甲方支付误期赔偿费，赔偿费按每车每天 200 元计收，直至交货或提供服务为止。但误期赔偿费的最高限额为贰万元。一旦</w:t>
      </w:r>
    </w:p>
    <w:p>
      <w:pPr>
        <w:rPr>
          <w:color w:val="auto"/>
          <w:sz w:val="28"/>
          <w:szCs w:val="28"/>
          <w:highlight w:val="none"/>
        </w:rPr>
      </w:pPr>
      <w:r>
        <w:rPr>
          <w:rFonts w:hint="eastAsia"/>
          <w:color w:val="auto"/>
          <w:sz w:val="28"/>
          <w:szCs w:val="28"/>
          <w:highlight w:val="none"/>
        </w:rPr>
        <w:t>达到误期赔偿费的最高限额，甲方和乙方可考虑终止合同。</w:t>
      </w:r>
    </w:p>
    <w:p>
      <w:pPr>
        <w:rPr>
          <w:color w:val="auto"/>
          <w:sz w:val="28"/>
          <w:szCs w:val="28"/>
          <w:highlight w:val="none"/>
        </w:rPr>
      </w:pPr>
      <w:r>
        <w:rPr>
          <w:rFonts w:hint="eastAsia"/>
          <w:color w:val="auto"/>
          <w:sz w:val="28"/>
          <w:szCs w:val="28"/>
          <w:highlight w:val="none"/>
        </w:rPr>
        <w:t>十三、不可抗力</w:t>
      </w:r>
    </w:p>
    <w:p>
      <w:pPr>
        <w:rPr>
          <w:color w:val="auto"/>
          <w:sz w:val="28"/>
          <w:szCs w:val="28"/>
          <w:highlight w:val="none"/>
        </w:rPr>
      </w:pPr>
      <w:r>
        <w:rPr>
          <w:rFonts w:hint="eastAsia"/>
          <w:color w:val="auto"/>
          <w:sz w:val="28"/>
          <w:szCs w:val="28"/>
          <w:highlight w:val="none"/>
        </w:rPr>
        <w:t>（一）如果乙方因不可抗力而导致合同实施延误或不能履行合同义务，不承担误期赔偿或终止合同的责任。</w:t>
      </w:r>
    </w:p>
    <w:p>
      <w:pPr>
        <w:rPr>
          <w:color w:val="auto"/>
          <w:sz w:val="28"/>
          <w:szCs w:val="28"/>
          <w:highlight w:val="none"/>
        </w:rPr>
      </w:pPr>
      <w:r>
        <w:rPr>
          <w:rFonts w:hint="eastAsia"/>
          <w:color w:val="auto"/>
          <w:sz w:val="28"/>
          <w:szCs w:val="28"/>
          <w:highlight w:val="none"/>
        </w:rPr>
        <w:t>（二）本条所述的“不可抗力”系指那些乙方无法控制、不可预见的事件，但不包括乙方的违约或疏忽。这些事件包括：战争、严重火灾、洪水、台风、地震。</w:t>
      </w:r>
    </w:p>
    <w:p>
      <w:pPr>
        <w:rPr>
          <w:color w:val="auto"/>
          <w:sz w:val="28"/>
          <w:szCs w:val="28"/>
          <w:highlight w:val="none"/>
        </w:rPr>
      </w:pPr>
      <w:r>
        <w:rPr>
          <w:rFonts w:hint="eastAsia"/>
          <w:color w:val="auto"/>
          <w:sz w:val="28"/>
          <w:szCs w:val="28"/>
          <w:highlight w:val="none"/>
        </w:rPr>
        <w:t>（三）在不可抗力事件发生后，乙方应尽快以书面形式将不可抗力的情况和原因通知甲方。</w:t>
      </w:r>
    </w:p>
    <w:p>
      <w:pPr>
        <w:rPr>
          <w:color w:val="auto"/>
          <w:sz w:val="28"/>
          <w:szCs w:val="28"/>
          <w:highlight w:val="none"/>
        </w:rPr>
      </w:pPr>
      <w:r>
        <w:rPr>
          <w:rFonts w:hint="eastAsia"/>
          <w:color w:val="auto"/>
          <w:sz w:val="28"/>
          <w:szCs w:val="28"/>
          <w:highlight w:val="none"/>
        </w:rPr>
        <w:t>除甲方书面另行要求外，乙方应尽实际可能继续履行合同义务，以及寻求采取合理的方案履行不受不可抗力影响的其他事项。如果不可抗力事件影响时间持续 120 天以上时，甲方和乙方应通过友好协商在合理的时间内达成进一步履行合同的合同。</w:t>
      </w:r>
    </w:p>
    <w:p>
      <w:pPr>
        <w:rPr>
          <w:color w:val="auto"/>
          <w:sz w:val="28"/>
          <w:szCs w:val="28"/>
          <w:highlight w:val="none"/>
        </w:rPr>
      </w:pPr>
      <w:r>
        <w:rPr>
          <w:rFonts w:hint="eastAsia"/>
          <w:color w:val="auto"/>
          <w:sz w:val="28"/>
          <w:szCs w:val="28"/>
          <w:highlight w:val="none"/>
        </w:rPr>
        <w:t>十三、仲裁</w:t>
      </w:r>
    </w:p>
    <w:p>
      <w:pPr>
        <w:rPr>
          <w:color w:val="auto"/>
          <w:sz w:val="28"/>
          <w:szCs w:val="28"/>
          <w:highlight w:val="none"/>
        </w:rPr>
      </w:pPr>
      <w:r>
        <w:rPr>
          <w:rFonts w:hint="eastAsia"/>
          <w:color w:val="auto"/>
          <w:sz w:val="28"/>
          <w:szCs w:val="28"/>
          <w:highlight w:val="none"/>
        </w:rPr>
        <w:t>（一）在履行本协议中所发生的或与本协议有关的一切争端，甲方和乙方应通过友好协商的办法进行解决。如从协商开始 30 天内仍不能解决，应申请仲裁。</w:t>
      </w:r>
    </w:p>
    <w:p>
      <w:pPr>
        <w:rPr>
          <w:color w:val="auto"/>
          <w:sz w:val="28"/>
          <w:szCs w:val="28"/>
          <w:highlight w:val="none"/>
        </w:rPr>
      </w:pPr>
      <w:r>
        <w:rPr>
          <w:rFonts w:hint="eastAsia"/>
          <w:color w:val="auto"/>
          <w:sz w:val="28"/>
          <w:szCs w:val="28"/>
          <w:highlight w:val="none"/>
        </w:rPr>
        <w:t>（二）仲裁应根据《中华人民共和国仲裁法》的规定向济宁市仲裁委员会提交仲裁申请仲裁。</w:t>
      </w:r>
    </w:p>
    <w:p>
      <w:pPr>
        <w:rPr>
          <w:color w:val="auto"/>
          <w:sz w:val="28"/>
          <w:szCs w:val="28"/>
          <w:highlight w:val="none"/>
        </w:rPr>
      </w:pPr>
      <w:r>
        <w:rPr>
          <w:rFonts w:hint="eastAsia"/>
          <w:color w:val="auto"/>
          <w:sz w:val="28"/>
          <w:szCs w:val="28"/>
          <w:highlight w:val="none"/>
        </w:rPr>
        <w:t>（三）仲裁裁决为最终裁决，对甲方和乙方均有约束力。</w:t>
      </w:r>
    </w:p>
    <w:p>
      <w:pPr>
        <w:rPr>
          <w:color w:val="auto"/>
          <w:sz w:val="28"/>
          <w:szCs w:val="28"/>
          <w:highlight w:val="none"/>
        </w:rPr>
      </w:pPr>
      <w:r>
        <w:rPr>
          <w:rFonts w:hint="eastAsia"/>
          <w:color w:val="auto"/>
          <w:sz w:val="28"/>
          <w:szCs w:val="28"/>
          <w:highlight w:val="none"/>
        </w:rPr>
        <w:t>（四）在仲裁期间，本协议应继续执行。</w:t>
      </w:r>
    </w:p>
    <w:p>
      <w:pPr>
        <w:rPr>
          <w:color w:val="auto"/>
          <w:sz w:val="28"/>
          <w:szCs w:val="28"/>
          <w:highlight w:val="none"/>
        </w:rPr>
      </w:pPr>
      <w:r>
        <w:rPr>
          <w:rFonts w:hint="eastAsia"/>
          <w:color w:val="auto"/>
          <w:sz w:val="28"/>
          <w:szCs w:val="28"/>
          <w:highlight w:val="none"/>
        </w:rPr>
        <w:t>十四、转让</w:t>
      </w:r>
    </w:p>
    <w:p>
      <w:pPr>
        <w:rPr>
          <w:color w:val="auto"/>
          <w:sz w:val="28"/>
          <w:szCs w:val="28"/>
          <w:highlight w:val="none"/>
        </w:rPr>
      </w:pPr>
      <w:r>
        <w:rPr>
          <w:rFonts w:hint="eastAsia"/>
          <w:color w:val="auto"/>
          <w:sz w:val="28"/>
          <w:szCs w:val="28"/>
          <w:highlight w:val="none"/>
        </w:rPr>
        <w:t>除甲方事先书面同意外，乙方不得部分转让或全部转让其应履行的协议义务。</w:t>
      </w:r>
    </w:p>
    <w:p>
      <w:pPr>
        <w:rPr>
          <w:color w:val="auto"/>
          <w:sz w:val="28"/>
          <w:szCs w:val="28"/>
          <w:highlight w:val="none"/>
        </w:rPr>
      </w:pPr>
      <w:r>
        <w:rPr>
          <w:rFonts w:hint="eastAsia"/>
          <w:color w:val="auto"/>
          <w:sz w:val="28"/>
          <w:szCs w:val="28"/>
          <w:highlight w:val="none"/>
        </w:rPr>
        <w:t>十五、协议生效及其它</w:t>
      </w:r>
    </w:p>
    <w:p>
      <w:pPr>
        <w:rPr>
          <w:color w:val="auto"/>
          <w:sz w:val="28"/>
          <w:szCs w:val="28"/>
          <w:highlight w:val="none"/>
        </w:rPr>
      </w:pPr>
      <w:r>
        <w:rPr>
          <w:rFonts w:hint="eastAsia"/>
          <w:color w:val="auto"/>
          <w:sz w:val="28"/>
          <w:szCs w:val="28"/>
          <w:highlight w:val="none"/>
        </w:rPr>
        <w:t>（一）合同应在甲方、乙方双方盖章确认后生效。</w:t>
      </w:r>
    </w:p>
    <w:p>
      <w:pPr>
        <w:rPr>
          <w:color w:val="auto"/>
          <w:sz w:val="28"/>
          <w:szCs w:val="28"/>
          <w:highlight w:val="none"/>
        </w:rPr>
      </w:pPr>
      <w:r>
        <w:rPr>
          <w:rFonts w:hint="eastAsia"/>
          <w:color w:val="auto"/>
          <w:sz w:val="28"/>
          <w:szCs w:val="28"/>
          <w:highlight w:val="none"/>
        </w:rPr>
        <w:t>（二）本合同一式五份：甲乙双方各两份、招标代理机构一份，具有同等法律效力。</w:t>
      </w:r>
    </w:p>
    <w:p>
      <w:pPr>
        <w:rPr>
          <w:color w:val="auto"/>
          <w:sz w:val="28"/>
          <w:szCs w:val="28"/>
          <w:highlight w:val="none"/>
        </w:rPr>
      </w:pPr>
      <w:r>
        <w:rPr>
          <w:rFonts w:hint="eastAsia"/>
          <w:color w:val="auto"/>
          <w:sz w:val="28"/>
          <w:szCs w:val="28"/>
          <w:highlight w:val="none"/>
        </w:rPr>
        <w:t>（三）甲方与乙方应签订补充合同，该合同将作为本合同不可分割的一部分。甲方与乙方另行签订的补充协议，本合同中的乙方、甲方的权利和义务对乙方、甲方具有约束力。</w:t>
      </w:r>
    </w:p>
    <w:p>
      <w:pPr>
        <w:rPr>
          <w:color w:val="auto"/>
          <w:sz w:val="28"/>
          <w:szCs w:val="28"/>
          <w:highlight w:val="none"/>
        </w:rPr>
      </w:pPr>
      <w:r>
        <w:rPr>
          <w:rFonts w:hint="eastAsia"/>
          <w:color w:val="auto"/>
          <w:sz w:val="28"/>
          <w:szCs w:val="28"/>
          <w:highlight w:val="none"/>
        </w:rPr>
        <w:t>（四）协议有效期内，如与政策性因素调整（如公务车改革），甲方有权终止本协议；</w:t>
      </w:r>
    </w:p>
    <w:p>
      <w:pPr>
        <w:rPr>
          <w:color w:val="auto"/>
          <w:sz w:val="28"/>
          <w:szCs w:val="28"/>
          <w:highlight w:val="none"/>
        </w:rPr>
      </w:pPr>
      <w:r>
        <w:rPr>
          <w:rFonts w:hint="eastAsia"/>
          <w:color w:val="auto"/>
          <w:sz w:val="28"/>
          <w:szCs w:val="28"/>
          <w:highlight w:val="none"/>
        </w:rPr>
        <w:t>（五）本合同应按照中华人民共和国的现行法律进行解释。</w:t>
      </w:r>
    </w:p>
    <w:p>
      <w:pPr>
        <w:rPr>
          <w:color w:val="auto"/>
          <w:sz w:val="28"/>
          <w:szCs w:val="28"/>
          <w:highlight w:val="none"/>
        </w:rPr>
      </w:pPr>
      <w:r>
        <w:rPr>
          <w:rFonts w:hint="eastAsia"/>
          <w:color w:val="auto"/>
          <w:sz w:val="28"/>
          <w:szCs w:val="28"/>
          <w:highlight w:val="none"/>
        </w:rPr>
        <w:t>甲方：（盖章） 乙方：（盖章）</w:t>
      </w:r>
    </w:p>
    <w:p>
      <w:pPr>
        <w:rPr>
          <w:color w:val="auto"/>
          <w:sz w:val="28"/>
          <w:szCs w:val="28"/>
          <w:highlight w:val="none"/>
        </w:rPr>
      </w:pPr>
      <w:r>
        <w:rPr>
          <w:rFonts w:hint="eastAsia"/>
          <w:color w:val="auto"/>
          <w:sz w:val="28"/>
          <w:szCs w:val="28"/>
          <w:highlight w:val="none"/>
        </w:rPr>
        <w:t>授权代表： 授权代表：</w:t>
      </w:r>
    </w:p>
    <w:p>
      <w:pPr>
        <w:rPr>
          <w:color w:val="auto"/>
          <w:sz w:val="28"/>
          <w:szCs w:val="28"/>
          <w:highlight w:val="none"/>
        </w:rPr>
      </w:pPr>
      <w:r>
        <w:rPr>
          <w:rFonts w:hint="eastAsia"/>
          <w:color w:val="auto"/>
          <w:sz w:val="28"/>
          <w:szCs w:val="28"/>
          <w:highlight w:val="none"/>
        </w:rPr>
        <w:t>联系电话： 联系电话：</w:t>
      </w:r>
    </w:p>
    <w:p>
      <w:pPr>
        <w:rPr>
          <w:color w:val="auto"/>
          <w:sz w:val="28"/>
          <w:szCs w:val="28"/>
          <w:highlight w:val="none"/>
        </w:rPr>
      </w:pPr>
      <w:r>
        <w:rPr>
          <w:rFonts w:hint="eastAsia"/>
          <w:color w:val="auto"/>
          <w:sz w:val="28"/>
          <w:szCs w:val="28"/>
          <w:highlight w:val="none"/>
        </w:rPr>
        <w:t>传真： 传真：</w:t>
      </w:r>
    </w:p>
    <w:p>
      <w:pPr>
        <w:rPr>
          <w:b/>
          <w:bCs/>
          <w:color w:val="auto"/>
          <w:sz w:val="36"/>
          <w:highlight w:val="none"/>
        </w:rPr>
      </w:pPr>
      <w:r>
        <w:rPr>
          <w:rFonts w:hint="eastAsia"/>
          <w:color w:val="auto"/>
          <w:sz w:val="28"/>
          <w:szCs w:val="28"/>
          <w:highlight w:val="none"/>
        </w:rPr>
        <w:t>地址： 地址：</w:t>
      </w:r>
    </w:p>
    <w:p>
      <w:pPr>
        <w:spacing w:line="360" w:lineRule="auto"/>
        <w:ind w:left="708" w:leftChars="337"/>
        <w:rPr>
          <w:b/>
          <w:bCs/>
          <w:color w:val="auto"/>
          <w:sz w:val="36"/>
          <w:highlight w:val="none"/>
        </w:rPr>
      </w:pPr>
    </w:p>
    <w:p>
      <w:pPr>
        <w:pStyle w:val="3"/>
        <w:rPr>
          <w:bCs w:val="0"/>
          <w:color w:val="auto"/>
          <w:highlight w:val="none"/>
        </w:rPr>
      </w:pPr>
      <w:bookmarkStart w:id="89" w:name="_Toc450115353"/>
    </w:p>
    <w:p>
      <w:pPr>
        <w:pStyle w:val="3"/>
        <w:rPr>
          <w:rFonts w:ascii="黑体" w:hAnsi="黑体" w:eastAsia="黑体"/>
          <w:color w:val="auto"/>
          <w:highlight w:val="none"/>
        </w:rPr>
      </w:pPr>
      <w:r>
        <w:rPr>
          <w:rFonts w:hint="eastAsia"/>
          <w:bCs w:val="0"/>
          <w:color w:val="auto"/>
          <w:highlight w:val="none"/>
        </w:rPr>
        <w:t>第五章  响应文件格式</w:t>
      </w:r>
      <w:bookmarkEnd w:id="86"/>
      <w:bookmarkEnd w:id="87"/>
      <w:bookmarkEnd w:id="88"/>
      <w:bookmarkEnd w:id="89"/>
    </w:p>
    <w:p>
      <w:pPr>
        <w:rPr>
          <w:color w:val="auto"/>
          <w:szCs w:val="21"/>
          <w:highlight w:val="none"/>
        </w:rPr>
      </w:pPr>
    </w:p>
    <w:p>
      <w:pPr>
        <w:rPr>
          <w:color w:val="auto"/>
          <w:szCs w:val="21"/>
          <w:highlight w:val="none"/>
        </w:rPr>
      </w:pPr>
    </w:p>
    <w:p>
      <w:pPr>
        <w:rPr>
          <w:color w:val="auto"/>
          <w:szCs w:val="21"/>
          <w:highlight w:val="none"/>
        </w:rPr>
      </w:pPr>
    </w:p>
    <w:p>
      <w:pPr>
        <w:autoSpaceDE w:val="0"/>
        <w:autoSpaceDN w:val="0"/>
        <w:adjustRightInd w:val="0"/>
        <w:ind w:firstLine="6160" w:firstLineChars="1400"/>
        <w:jc w:val="left"/>
        <w:rPr>
          <w:rFonts w:eastAsia="黑体"/>
          <w:color w:val="auto"/>
          <w:kern w:val="0"/>
          <w:sz w:val="44"/>
          <w:szCs w:val="44"/>
          <w:highlight w:val="none"/>
        </w:rPr>
      </w:pPr>
      <w:r>
        <w:rPr>
          <w:rFonts w:hint="eastAsia" w:eastAsia="黑体"/>
          <w:color w:val="auto"/>
          <w:kern w:val="0"/>
          <w:sz w:val="44"/>
          <w:szCs w:val="44"/>
          <w:highlight w:val="none"/>
          <w:bdr w:val="single" w:color="auto" w:sz="4" w:space="0"/>
        </w:rPr>
        <w:t>正本</w:t>
      </w:r>
      <w:r>
        <w:rPr>
          <w:rFonts w:eastAsia="黑体"/>
          <w:color w:val="auto"/>
          <w:kern w:val="0"/>
          <w:sz w:val="44"/>
          <w:szCs w:val="44"/>
          <w:highlight w:val="none"/>
          <w:bdr w:val="single" w:color="auto" w:sz="4" w:space="0"/>
        </w:rPr>
        <w:t>/</w:t>
      </w:r>
      <w:r>
        <w:rPr>
          <w:rFonts w:hint="eastAsia" w:eastAsia="黑体"/>
          <w:color w:val="auto"/>
          <w:kern w:val="0"/>
          <w:sz w:val="44"/>
          <w:szCs w:val="44"/>
          <w:highlight w:val="none"/>
          <w:bdr w:val="single" w:color="auto" w:sz="4" w:space="0"/>
        </w:rPr>
        <w:t>副本</w:t>
      </w:r>
    </w:p>
    <w:p>
      <w:pPr>
        <w:rPr>
          <w:color w:val="auto"/>
          <w:szCs w:val="21"/>
          <w:highlight w:val="none"/>
        </w:rPr>
      </w:pPr>
    </w:p>
    <w:p>
      <w:pPr>
        <w:jc w:val="center"/>
        <w:rPr>
          <w:rFonts w:eastAsia="黑体"/>
          <w:color w:val="auto"/>
          <w:sz w:val="36"/>
          <w:szCs w:val="36"/>
          <w:highlight w:val="none"/>
        </w:rPr>
      </w:pPr>
      <w:r>
        <w:rPr>
          <w:rFonts w:hint="eastAsia" w:eastAsia="黑体"/>
          <w:color w:val="auto"/>
          <w:sz w:val="36"/>
          <w:szCs w:val="36"/>
          <w:highlight w:val="none"/>
          <w:u w:val="single"/>
          <w:lang w:val="en-US" w:eastAsia="zh-CN"/>
        </w:rPr>
        <w:t xml:space="preserve">                    </w:t>
      </w:r>
      <w:r>
        <w:rPr>
          <w:rFonts w:hint="eastAsia" w:eastAsia="黑体"/>
          <w:color w:val="auto"/>
          <w:sz w:val="36"/>
          <w:szCs w:val="36"/>
          <w:highlight w:val="none"/>
        </w:rPr>
        <w:t>（项目名称）</w:t>
      </w:r>
    </w:p>
    <w:p>
      <w:pPr>
        <w:rPr>
          <w:b/>
          <w:color w:val="auto"/>
          <w:szCs w:val="21"/>
          <w:highlight w:val="none"/>
        </w:rPr>
      </w:pPr>
    </w:p>
    <w:p>
      <w:pPr>
        <w:rPr>
          <w:b/>
          <w:color w:val="auto"/>
          <w:szCs w:val="21"/>
          <w:highlight w:val="none"/>
        </w:rPr>
      </w:pPr>
    </w:p>
    <w:p>
      <w:pPr>
        <w:rPr>
          <w:b/>
          <w:color w:val="auto"/>
          <w:szCs w:val="21"/>
          <w:highlight w:val="none"/>
        </w:rPr>
      </w:pPr>
    </w:p>
    <w:p>
      <w:pPr>
        <w:rPr>
          <w:b/>
          <w:color w:val="auto"/>
          <w:szCs w:val="21"/>
          <w:highlight w:val="none"/>
        </w:rPr>
      </w:pPr>
    </w:p>
    <w:p>
      <w:pPr>
        <w:rPr>
          <w:b/>
          <w:color w:val="auto"/>
          <w:szCs w:val="21"/>
          <w:highlight w:val="none"/>
        </w:rPr>
      </w:pPr>
    </w:p>
    <w:p>
      <w:pPr>
        <w:rPr>
          <w:b/>
          <w:color w:val="auto"/>
          <w:szCs w:val="21"/>
          <w:highlight w:val="none"/>
        </w:rPr>
      </w:pPr>
    </w:p>
    <w:p>
      <w:pPr>
        <w:spacing w:before="145" w:beforeLines="50" w:after="145" w:afterLines="50" w:line="700" w:lineRule="exact"/>
        <w:jc w:val="center"/>
        <w:rPr>
          <w:rFonts w:ascii="宋体"/>
          <w:b/>
          <w:color w:val="auto"/>
          <w:sz w:val="60"/>
          <w:highlight w:val="none"/>
        </w:rPr>
      </w:pPr>
      <w:r>
        <w:rPr>
          <w:rFonts w:hint="eastAsia" w:ascii="宋体" w:hAnsi="宋体"/>
          <w:b/>
          <w:color w:val="auto"/>
          <w:sz w:val="60"/>
          <w:highlight w:val="none"/>
        </w:rPr>
        <w:t>响应文件</w:t>
      </w:r>
    </w:p>
    <w:p>
      <w:pPr>
        <w:rPr>
          <w:b/>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ind w:firstLine="1820" w:firstLineChars="650"/>
        <w:rPr>
          <w:rFonts w:eastAsia="黑体"/>
          <w:color w:val="auto"/>
          <w:sz w:val="28"/>
          <w:szCs w:val="28"/>
          <w:highlight w:val="none"/>
          <w:u w:val="single"/>
        </w:rPr>
      </w:pPr>
      <w:r>
        <w:rPr>
          <w:rFonts w:hint="eastAsia" w:eastAsia="黑体"/>
          <w:color w:val="auto"/>
          <w:sz w:val="28"/>
          <w:szCs w:val="28"/>
          <w:highlight w:val="none"/>
        </w:rPr>
        <w:t xml:space="preserve">  供应商：（盖单位公章）</w:t>
      </w:r>
    </w:p>
    <w:p>
      <w:pPr>
        <w:jc w:val="center"/>
        <w:rPr>
          <w:rFonts w:eastAsia="黑体"/>
          <w:color w:val="auto"/>
          <w:sz w:val="28"/>
          <w:szCs w:val="28"/>
          <w:highlight w:val="none"/>
        </w:rPr>
      </w:pPr>
      <w:r>
        <w:rPr>
          <w:rFonts w:hint="eastAsia" w:eastAsia="黑体"/>
          <w:color w:val="auto"/>
          <w:sz w:val="28"/>
          <w:szCs w:val="28"/>
          <w:highlight w:val="none"/>
        </w:rPr>
        <w:t>法定代表人或其委托代理人：（签字或盖章）</w:t>
      </w:r>
    </w:p>
    <w:p>
      <w:pPr>
        <w:jc w:val="center"/>
        <w:rPr>
          <w:rFonts w:ascii="宋体"/>
          <w:bCs/>
          <w:color w:val="auto"/>
          <w:highlight w:val="none"/>
        </w:rPr>
      </w:pPr>
      <w:r>
        <w:rPr>
          <w:rFonts w:hint="eastAsia" w:eastAsia="黑体"/>
          <w:color w:val="auto"/>
          <w:sz w:val="28"/>
          <w:szCs w:val="28"/>
          <w:highlight w:val="none"/>
        </w:rPr>
        <w:t>年</w:t>
      </w:r>
      <w:r>
        <w:rPr>
          <w:rFonts w:hint="eastAsia" w:eastAsia="黑体"/>
          <w:color w:val="auto"/>
          <w:sz w:val="28"/>
          <w:szCs w:val="28"/>
          <w:highlight w:val="none"/>
          <w:lang w:val="en-US" w:eastAsia="zh-CN"/>
        </w:rPr>
        <w:t xml:space="preserve">  </w:t>
      </w:r>
      <w:r>
        <w:rPr>
          <w:rFonts w:hint="eastAsia" w:eastAsia="黑体"/>
          <w:color w:val="auto"/>
          <w:sz w:val="28"/>
          <w:szCs w:val="28"/>
          <w:highlight w:val="none"/>
        </w:rPr>
        <w:t>月</w:t>
      </w:r>
      <w:r>
        <w:rPr>
          <w:rFonts w:hint="eastAsia" w:eastAsia="黑体"/>
          <w:color w:val="auto"/>
          <w:sz w:val="28"/>
          <w:szCs w:val="28"/>
          <w:highlight w:val="none"/>
          <w:lang w:val="en-US" w:eastAsia="zh-CN"/>
        </w:rPr>
        <w:t xml:space="preserve">  </w:t>
      </w:r>
      <w:r>
        <w:rPr>
          <w:rFonts w:hint="eastAsia" w:eastAsia="黑体"/>
          <w:color w:val="auto"/>
          <w:sz w:val="28"/>
          <w:szCs w:val="28"/>
          <w:highlight w:val="none"/>
        </w:rPr>
        <w:t>日</w:t>
      </w:r>
    </w:p>
    <w:p>
      <w:pPr>
        <w:rPr>
          <w:color w:val="auto"/>
          <w:highlight w:val="none"/>
        </w:rPr>
      </w:pPr>
    </w:p>
    <w:p>
      <w:pPr>
        <w:pStyle w:val="8"/>
        <w:spacing w:after="145" w:afterLines="50" w:line="400" w:lineRule="exact"/>
        <w:rPr>
          <w:rFonts w:cs="宋体"/>
          <w:b/>
          <w:bCs/>
          <w:color w:val="auto"/>
          <w:sz w:val="32"/>
          <w:szCs w:val="32"/>
          <w:highlight w:val="none"/>
        </w:rPr>
      </w:pPr>
      <w:r>
        <w:rPr>
          <w:rFonts w:hint="eastAsia"/>
          <w:b/>
          <w:color w:val="auto"/>
          <w:sz w:val="36"/>
          <w:highlight w:val="none"/>
        </w:rPr>
        <w:br w:type="page"/>
      </w:r>
      <w:r>
        <w:rPr>
          <w:rFonts w:hint="eastAsia" w:cs="宋体"/>
          <w:b/>
          <w:bCs/>
          <w:color w:val="auto"/>
          <w:sz w:val="32"/>
          <w:szCs w:val="32"/>
          <w:highlight w:val="none"/>
        </w:rPr>
        <w:t>附件一:</w:t>
      </w:r>
    </w:p>
    <w:p>
      <w:pPr>
        <w:pStyle w:val="8"/>
        <w:spacing w:after="145" w:afterLines="50" w:line="400" w:lineRule="exact"/>
        <w:jc w:val="center"/>
        <w:rPr>
          <w:rFonts w:cs="宋体"/>
          <w:b/>
          <w:bCs/>
          <w:color w:val="auto"/>
          <w:sz w:val="32"/>
          <w:szCs w:val="32"/>
          <w:highlight w:val="none"/>
        </w:rPr>
      </w:pPr>
      <w:r>
        <w:rPr>
          <w:rFonts w:hint="eastAsia" w:cs="宋体"/>
          <w:b/>
          <w:bCs/>
          <w:color w:val="auto"/>
          <w:sz w:val="32"/>
          <w:szCs w:val="32"/>
          <w:highlight w:val="none"/>
        </w:rPr>
        <w:t>投标函</w:t>
      </w:r>
    </w:p>
    <w:p>
      <w:pPr>
        <w:widowControl/>
        <w:jc w:val="left"/>
        <w:rPr>
          <w:rFonts w:ascii="宋体" w:hAnsi="宋体" w:cs="宋体"/>
          <w:b/>
          <w:bCs/>
          <w:color w:val="auto"/>
          <w:sz w:val="24"/>
          <w:highlight w:val="none"/>
        </w:rPr>
      </w:pPr>
    </w:p>
    <w:p>
      <w:pPr>
        <w:widowControl/>
        <w:jc w:val="left"/>
        <w:rPr>
          <w:rFonts w:ascii="宋体" w:hAnsi="宋体" w:cs="宋体"/>
          <w:bCs/>
          <w:color w:val="auto"/>
          <w:sz w:val="24"/>
          <w:highlight w:val="none"/>
        </w:rPr>
      </w:pPr>
      <w:r>
        <w:rPr>
          <w:rFonts w:hint="eastAsia" w:ascii="宋体" w:hAnsi="宋体" w:cs="宋体"/>
          <w:bCs/>
          <w:color w:val="auto"/>
          <w:sz w:val="24"/>
          <w:highlight w:val="none"/>
          <w:u w:val="single"/>
        </w:rPr>
        <w:t xml:space="preserve">                 （采购单位名称）</w:t>
      </w:r>
      <w:r>
        <w:rPr>
          <w:rFonts w:hint="eastAsia" w:ascii="宋体" w:hAnsi="宋体" w:cs="宋体"/>
          <w:bCs/>
          <w:color w:val="auto"/>
          <w:sz w:val="24"/>
          <w:highlight w:val="none"/>
        </w:rPr>
        <w:t>：</w:t>
      </w:r>
    </w:p>
    <w:p>
      <w:pPr>
        <w:widowControl/>
        <w:jc w:val="left"/>
        <w:rPr>
          <w:rFonts w:ascii="宋体" w:hAnsi="宋体" w:cs="宋体"/>
          <w:bCs/>
          <w:color w:val="auto"/>
          <w:sz w:val="24"/>
          <w:highlight w:val="none"/>
        </w:rPr>
      </w:pPr>
    </w:p>
    <w:p>
      <w:pPr>
        <w:widowControl/>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我方已经认真审阅了已经认真审阅了此次项目</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（项目编号：</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）的磋商文件，并对其没有任何保留意见，经研究决定参加本项目投标并提交响应文件。为此，我方承诺如下：</w:t>
      </w:r>
    </w:p>
    <w:p>
      <w:pPr>
        <w:spacing w:line="4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服务周期：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p>
    <w:p>
      <w:pPr>
        <w:spacing w:line="400" w:lineRule="exact"/>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优惠条件及服务承诺：</w:t>
      </w:r>
      <w:r>
        <w:rPr>
          <w:rFonts w:hint="eastAsia" w:ascii="宋体" w:hAnsi="宋体" w:eastAsia="宋体" w:cs="宋体"/>
          <w:color w:val="auto"/>
          <w:sz w:val="24"/>
          <w:highlight w:val="none"/>
          <w:lang w:val="en-US" w:eastAsia="zh-CN"/>
        </w:rPr>
        <w:t xml:space="preserve">     </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我方郑重声明以下诸点，并负法律责任。</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1、我们提交的响应文件，正本一份，副本四份。正本具有法律效力。当副本与正本不一致时，以正本为准。</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2、我们对响应文件中所提供的各种技术标准、设备的相关参数和所有证书、文件、经营业绩、合同、财务报表以及售后服务机构的真实性承担完全的责任。如有虚假，我们愿意承担一切后果。</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3、如果我们的响应文件被接受，我们将认真履行采购文件中规定的每一项要求，并按我们在响应文件和谈判中的承诺，按期、保质完成项目。</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4、我们愿按《中华人民共和国合同法》履行自己的全部责任。</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5、我们同意按要求缴纳保证金，遵守关于本项目的相关规定。</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6、我们的响应文件自提交之日起有效期为天。</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7、我们若未能成为成交供应商，你们有不做解释的权利。</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供应商（盖章）：</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法人代表或委托代理人（签字或盖章）：</w:t>
      </w:r>
    </w:p>
    <w:p>
      <w:pPr>
        <w:widowControl/>
        <w:jc w:val="right"/>
        <w:rPr>
          <w:rFonts w:ascii="宋体" w:hAnsi="宋体" w:eastAsia="宋体" w:cs="宋体"/>
          <w:color w:val="auto"/>
          <w:sz w:val="24"/>
          <w:highlight w:val="none"/>
        </w:rPr>
      </w:pPr>
    </w:p>
    <w:p>
      <w:pPr>
        <w:widowControl/>
        <w:jc w:val="right"/>
        <w:rPr>
          <w:rFonts w:ascii="宋体" w:hAnsi="宋体" w:cs="宋体"/>
          <w:b/>
          <w:bCs/>
          <w:color w:val="auto"/>
          <w:sz w:val="24"/>
          <w:highlight w:val="none"/>
        </w:rPr>
      </w:pPr>
      <w:r>
        <w:rPr>
          <w:rFonts w:hint="eastAsia" w:ascii="宋体" w:hAnsi="宋体" w:eastAsia="宋体" w:cs="宋体"/>
          <w:color w:val="auto"/>
          <w:sz w:val="24"/>
          <w:highlight w:val="none"/>
        </w:rPr>
        <w:t>日期：   年   月   日</w:t>
      </w:r>
    </w:p>
    <w:p>
      <w:pPr>
        <w:widowControl/>
        <w:jc w:val="left"/>
        <w:rPr>
          <w:rFonts w:ascii="宋体" w:hAnsi="宋体" w:cs="宋体"/>
          <w:b/>
          <w:bCs/>
          <w:color w:val="auto"/>
          <w:sz w:val="32"/>
          <w:szCs w:val="32"/>
          <w:highlight w:val="none"/>
        </w:rPr>
      </w:pPr>
      <w:r>
        <w:rPr>
          <w:rFonts w:ascii="宋体" w:hAnsi="宋体" w:cs="宋体"/>
          <w:b/>
          <w:bCs/>
          <w:color w:val="auto"/>
          <w:sz w:val="24"/>
          <w:highlight w:val="none"/>
        </w:rPr>
        <w:br w:type="page"/>
      </w:r>
      <w:bookmarkStart w:id="90" w:name="_Toc363048761"/>
      <w:bookmarkStart w:id="91" w:name="_Toc372119281"/>
      <w:r>
        <w:rPr>
          <w:rFonts w:hint="eastAsia" w:ascii="宋体" w:hAnsi="宋体" w:cs="宋体"/>
          <w:b/>
          <w:bCs/>
          <w:color w:val="auto"/>
          <w:sz w:val="32"/>
          <w:szCs w:val="32"/>
          <w:highlight w:val="none"/>
        </w:rPr>
        <w:t>附件二：</w:t>
      </w:r>
    </w:p>
    <w:p>
      <w:pPr>
        <w:widowControl/>
        <w:jc w:val="center"/>
        <w:rPr>
          <w:rFonts w:ascii="宋体" w:hAnsi="宋体" w:cs="宋体"/>
          <w:b/>
          <w:bCs/>
          <w:color w:val="auto"/>
          <w:sz w:val="24"/>
          <w:highlight w:val="none"/>
        </w:rPr>
      </w:pPr>
      <w:r>
        <w:rPr>
          <w:rFonts w:hint="eastAsia" w:ascii="宋体" w:hAnsi="宋体" w:cs="宋体"/>
          <w:b/>
          <w:bCs/>
          <w:color w:val="auto"/>
          <w:sz w:val="32"/>
          <w:szCs w:val="32"/>
          <w:highlight w:val="none"/>
        </w:rPr>
        <w:t>法定代表人授权委托书</w:t>
      </w:r>
      <w:bookmarkEnd w:id="90"/>
      <w:bookmarkEnd w:id="91"/>
    </w:p>
    <w:p>
      <w:pPr>
        <w:widowControl/>
        <w:jc w:val="left"/>
        <w:rPr>
          <w:rFonts w:ascii="宋体" w:hAnsi="宋体" w:cs="宋体"/>
          <w:b/>
          <w:bCs/>
          <w:color w:val="auto"/>
          <w:sz w:val="24"/>
          <w:highlight w:val="none"/>
        </w:rPr>
      </w:pPr>
    </w:p>
    <w:p>
      <w:pPr>
        <w:widowControl/>
        <w:jc w:val="left"/>
        <w:rPr>
          <w:rFonts w:ascii="宋体" w:hAnsi="宋体" w:cs="宋体"/>
          <w:bCs/>
          <w:color w:val="auto"/>
          <w:sz w:val="24"/>
          <w:highlight w:val="none"/>
        </w:rPr>
      </w:pPr>
      <w:r>
        <w:rPr>
          <w:rFonts w:hint="eastAsia" w:ascii="宋体" w:hAnsi="宋体" w:cs="宋体"/>
          <w:bCs/>
          <w:color w:val="auto"/>
          <w:sz w:val="24"/>
          <w:highlight w:val="none"/>
          <w:u w:val="single"/>
        </w:rPr>
        <w:t xml:space="preserve">                 （采购单位名称）</w:t>
      </w:r>
      <w:r>
        <w:rPr>
          <w:rFonts w:hint="eastAsia" w:ascii="宋体" w:hAnsi="宋体" w:cs="宋体"/>
          <w:bCs/>
          <w:color w:val="auto"/>
          <w:sz w:val="24"/>
          <w:highlight w:val="none"/>
        </w:rPr>
        <w:t>：</w:t>
      </w:r>
    </w:p>
    <w:p>
      <w:pPr>
        <w:widowControl/>
        <w:jc w:val="left"/>
        <w:rPr>
          <w:rFonts w:ascii="宋体" w:hAnsi="宋体" w:cs="宋体"/>
          <w:bCs/>
          <w:color w:val="auto"/>
          <w:sz w:val="24"/>
          <w:highlight w:val="none"/>
        </w:rPr>
      </w:pPr>
    </w:p>
    <w:p>
      <w:pPr>
        <w:widowControl/>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（供应商名称）法定代表人授权我公司</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（职务或职称）</w:t>
      </w:r>
      <w:r>
        <w:rPr>
          <w:rFonts w:hint="eastAsia" w:ascii="宋体" w:hAnsi="宋体" w:cs="宋体"/>
          <w:bCs/>
          <w:color w:val="auto"/>
          <w:sz w:val="24"/>
          <w:highlight w:val="none"/>
          <w:u w:val="single"/>
        </w:rPr>
        <w:t xml:space="preserve">     </w:t>
      </w:r>
    </w:p>
    <w:p>
      <w:pPr>
        <w:widowControl/>
        <w:spacing w:line="360" w:lineRule="auto"/>
        <w:jc w:val="left"/>
        <w:rPr>
          <w:rFonts w:ascii="宋体" w:hAnsi="宋体" w:cs="宋体"/>
          <w:bCs/>
          <w:color w:val="auto"/>
          <w:sz w:val="24"/>
          <w:highlight w:val="none"/>
          <w:u w:val="single"/>
        </w:rPr>
      </w:pP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（姓名）为我单位本次投标委托代理人，全权处理此次项目</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（项目编号：</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）磋商活动的一切事宜。</w:t>
      </w:r>
    </w:p>
    <w:p>
      <w:pPr>
        <w:widowControl/>
        <w:ind w:firstLine="480" w:firstLineChars="200"/>
        <w:jc w:val="left"/>
        <w:rPr>
          <w:rFonts w:ascii="宋体" w:hAnsi="宋体" w:cs="宋体"/>
          <w:bCs/>
          <w:color w:val="auto"/>
          <w:sz w:val="24"/>
          <w:highlight w:val="none"/>
        </w:rPr>
      </w:pPr>
    </w:p>
    <w:p>
      <w:pPr>
        <w:widowControl/>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特此授权。</w:t>
      </w:r>
    </w:p>
    <w:p>
      <w:pPr>
        <w:widowControl/>
        <w:jc w:val="left"/>
        <w:rPr>
          <w:rFonts w:ascii="宋体" w:hAnsi="宋体" w:cs="宋体"/>
          <w:bCs/>
          <w:color w:val="auto"/>
          <w:sz w:val="24"/>
          <w:highlight w:val="none"/>
        </w:rPr>
      </w:pPr>
    </w:p>
    <w:tbl>
      <w:tblPr>
        <w:tblStyle w:val="16"/>
        <w:tblW w:w="82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826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bCs/>
                <w:color w:val="auto"/>
                <w:sz w:val="24"/>
                <w:highlight w:val="none"/>
              </w:rPr>
            </w:pPr>
          </w:p>
          <w:p>
            <w:pPr>
              <w:widowControl/>
              <w:jc w:val="left"/>
              <w:rPr>
                <w:rFonts w:ascii="宋体" w:hAnsi="宋体" w:cs="宋体"/>
                <w:bCs/>
                <w:color w:val="auto"/>
                <w:sz w:val="24"/>
                <w:highlight w:val="none"/>
              </w:rPr>
            </w:pPr>
          </w:p>
          <w:p>
            <w:pPr>
              <w:widowControl/>
              <w:jc w:val="left"/>
              <w:rPr>
                <w:rFonts w:ascii="宋体" w:hAnsi="宋体" w:cs="宋体"/>
                <w:bCs/>
                <w:color w:val="auto"/>
                <w:sz w:val="24"/>
                <w:highlight w:val="none"/>
              </w:rPr>
            </w:pPr>
            <w:r>
              <w:rPr>
                <w:rFonts w:hint="eastAsia" w:ascii="宋体" w:hAnsi="宋体" w:cs="宋体"/>
                <w:bCs/>
                <w:color w:val="auto"/>
                <w:sz w:val="24"/>
                <w:highlight w:val="none"/>
              </w:rPr>
              <w:t>（附委托代理人身份证明复印件）</w:t>
            </w:r>
          </w:p>
          <w:p>
            <w:pPr>
              <w:widowControl/>
              <w:jc w:val="left"/>
              <w:rPr>
                <w:rFonts w:ascii="宋体" w:hAnsi="宋体" w:cs="宋体"/>
                <w:bCs/>
                <w:color w:val="auto"/>
                <w:sz w:val="24"/>
                <w:highlight w:val="none"/>
              </w:rPr>
            </w:pPr>
          </w:p>
          <w:p>
            <w:pPr>
              <w:widowControl/>
              <w:jc w:val="left"/>
              <w:rPr>
                <w:rFonts w:ascii="宋体" w:hAnsi="宋体" w:cs="宋体"/>
                <w:bCs/>
                <w:color w:val="auto"/>
                <w:sz w:val="24"/>
                <w:highlight w:val="none"/>
              </w:rPr>
            </w:pPr>
          </w:p>
          <w:p>
            <w:pPr>
              <w:widowControl/>
              <w:jc w:val="left"/>
              <w:rPr>
                <w:rFonts w:ascii="宋体" w:hAnsi="宋体" w:cs="宋体"/>
                <w:bCs/>
                <w:color w:val="auto"/>
                <w:sz w:val="24"/>
                <w:highlight w:val="none"/>
              </w:rPr>
            </w:pPr>
          </w:p>
        </w:tc>
      </w:tr>
    </w:tbl>
    <w:p>
      <w:pPr>
        <w:widowControl/>
        <w:jc w:val="left"/>
        <w:rPr>
          <w:rFonts w:ascii="宋体" w:hAnsi="宋体" w:cs="宋体"/>
          <w:bCs/>
          <w:color w:val="auto"/>
          <w:sz w:val="24"/>
          <w:highlight w:val="none"/>
        </w:rPr>
      </w:pPr>
    </w:p>
    <w:p>
      <w:pPr>
        <w:widowControl/>
        <w:spacing w:line="360" w:lineRule="auto"/>
        <w:ind w:firstLine="240" w:firstLineChars="100"/>
        <w:jc w:val="left"/>
        <w:rPr>
          <w:rFonts w:ascii="宋体" w:hAnsi="宋体" w:cs="宋体"/>
          <w:bCs/>
          <w:color w:val="auto"/>
          <w:sz w:val="24"/>
          <w:highlight w:val="none"/>
        </w:rPr>
      </w:pPr>
      <w:r>
        <w:rPr>
          <w:rFonts w:hint="eastAsia" w:ascii="宋体" w:hAnsi="宋体" w:cs="宋体"/>
          <w:bCs/>
          <w:color w:val="auto"/>
          <w:sz w:val="24"/>
          <w:highlight w:val="none"/>
        </w:rPr>
        <w:t>供应商单位名称（公章）：</w:t>
      </w:r>
    </w:p>
    <w:p>
      <w:pPr>
        <w:widowControl/>
        <w:spacing w:line="360" w:lineRule="auto"/>
        <w:ind w:firstLine="240" w:firstLineChars="100"/>
        <w:jc w:val="left"/>
        <w:rPr>
          <w:rFonts w:ascii="宋体" w:hAnsi="宋体" w:cs="宋体"/>
          <w:bCs/>
          <w:color w:val="auto"/>
          <w:sz w:val="24"/>
          <w:highlight w:val="none"/>
        </w:rPr>
      </w:pPr>
      <w:r>
        <w:rPr>
          <w:rFonts w:hint="eastAsia" w:ascii="宋体" w:hAnsi="宋体" w:cs="宋体"/>
          <w:bCs/>
          <w:color w:val="auto"/>
          <w:sz w:val="24"/>
          <w:highlight w:val="none"/>
        </w:rPr>
        <w:t>法定代表人（签字或盖章）：</w:t>
      </w:r>
    </w:p>
    <w:p>
      <w:pPr>
        <w:widowControl/>
        <w:spacing w:line="360" w:lineRule="auto"/>
        <w:ind w:firstLine="240" w:firstLineChars="100"/>
        <w:jc w:val="left"/>
        <w:rPr>
          <w:rFonts w:ascii="宋体" w:hAnsi="宋体" w:cs="宋体"/>
          <w:b/>
          <w:bCs/>
          <w:color w:val="auto"/>
          <w:sz w:val="24"/>
          <w:highlight w:val="none"/>
        </w:rPr>
      </w:pPr>
      <w:r>
        <w:rPr>
          <w:rFonts w:hint="eastAsia" w:ascii="宋体" w:hAnsi="宋体" w:cs="宋体"/>
          <w:bCs/>
          <w:color w:val="auto"/>
          <w:sz w:val="24"/>
          <w:highlight w:val="none"/>
        </w:rPr>
        <w:t>委托代理人（签字）：</w:t>
      </w:r>
    </w:p>
    <w:p>
      <w:pPr>
        <w:widowControl/>
        <w:jc w:val="right"/>
        <w:rPr>
          <w:rFonts w:ascii="宋体" w:hAnsi="宋体" w:cs="宋体"/>
          <w:bCs/>
          <w:color w:val="auto"/>
          <w:sz w:val="24"/>
          <w:highlight w:val="none"/>
        </w:rPr>
      </w:pPr>
      <w:r>
        <w:rPr>
          <w:rFonts w:hint="eastAsia" w:ascii="宋体" w:hAnsi="宋体" w:cs="宋体"/>
          <w:bCs/>
          <w:color w:val="auto"/>
          <w:sz w:val="24"/>
          <w:highlight w:val="none"/>
        </w:rPr>
        <w:t>年    月    日</w:t>
      </w:r>
    </w:p>
    <w:p>
      <w:pPr>
        <w:adjustRightInd w:val="0"/>
        <w:snapToGrid w:val="0"/>
        <w:spacing w:line="360" w:lineRule="auto"/>
        <w:jc w:val="center"/>
        <w:rPr>
          <w:rFonts w:ascii="宋体" w:hAnsi="宋体" w:cs="宋体"/>
          <w:b/>
          <w:bCs/>
          <w:color w:val="auto"/>
          <w:sz w:val="32"/>
          <w:szCs w:val="32"/>
          <w:highlight w:val="none"/>
        </w:rPr>
      </w:pPr>
      <w:r>
        <w:rPr>
          <w:rFonts w:ascii="宋体" w:hAnsi="宋体"/>
          <w:b/>
          <w:bCs/>
          <w:color w:val="auto"/>
          <w:sz w:val="24"/>
          <w:highlight w:val="none"/>
        </w:rPr>
        <w:br w:type="page"/>
      </w:r>
      <w:bookmarkStart w:id="92" w:name="_Toc374971308"/>
      <w:bookmarkStart w:id="93" w:name="_Toc413225926"/>
    </w:p>
    <w:p>
      <w:pPr>
        <w:pStyle w:val="8"/>
        <w:spacing w:after="145" w:afterLines="50" w:line="400" w:lineRule="exact"/>
        <w:jc w:val="left"/>
        <w:rPr>
          <w:rFonts w:cs="宋体"/>
          <w:b/>
          <w:bCs/>
          <w:color w:val="auto"/>
          <w:sz w:val="32"/>
          <w:szCs w:val="32"/>
          <w:highlight w:val="none"/>
        </w:rPr>
      </w:pPr>
      <w:r>
        <w:rPr>
          <w:rFonts w:hint="eastAsia" w:cs="宋体"/>
          <w:b/>
          <w:bCs/>
          <w:color w:val="auto"/>
          <w:sz w:val="32"/>
          <w:szCs w:val="32"/>
          <w:highlight w:val="none"/>
        </w:rPr>
        <w:t>附件三：</w:t>
      </w:r>
      <w:bookmarkEnd w:id="92"/>
    </w:p>
    <w:p>
      <w:pPr>
        <w:jc w:val="center"/>
        <w:rPr>
          <w:rFonts w:hint="eastAsia" w:ascii="宋体" w:hAnsi="宋体" w:cs="宋体"/>
          <w:b/>
          <w:color w:val="auto"/>
          <w:sz w:val="32"/>
          <w:highlight w:val="none"/>
        </w:rPr>
      </w:pPr>
      <w:r>
        <w:rPr>
          <w:rFonts w:hint="eastAsia"/>
          <w:b/>
          <w:bCs/>
          <w:color w:val="auto"/>
          <w:sz w:val="32"/>
          <w:szCs w:val="32"/>
          <w:highlight w:val="none"/>
        </w:rPr>
        <w:t>车辆配件清单</w:t>
      </w:r>
      <w:r>
        <w:rPr>
          <w:rFonts w:hint="eastAsia" w:ascii="宋体" w:hAnsi="宋体" w:cs="宋体"/>
          <w:b/>
          <w:color w:val="auto"/>
          <w:sz w:val="32"/>
          <w:highlight w:val="none"/>
        </w:rPr>
        <w:t>报价明细表</w:t>
      </w:r>
    </w:p>
    <w:tbl>
      <w:tblPr>
        <w:tblStyle w:val="1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ind w:firstLine="1285" w:firstLineChars="400"/>
              <w:jc w:val="both"/>
              <w:rPr>
                <w:rFonts w:hint="eastAsia" w:ascii="仿宋_GB2312" w:hAnsi="宋体" w:eastAsia="仿宋_GB2312" w:cs="仿宋_GB2312"/>
                <w:b/>
                <w:bCs/>
                <w:color w:val="000000"/>
                <w:sz w:val="32"/>
                <w:szCs w:val="32"/>
                <w:lang w:eastAsia="zh-CN"/>
              </w:rPr>
            </w:pPr>
            <w:r>
              <w:rPr>
                <w:rFonts w:hint="eastAsia" w:ascii="仿宋_GB2312" w:hAnsi="宋体" w:eastAsia="仿宋_GB2312" w:cs="Times New Roman"/>
                <w:b/>
                <w:bCs/>
                <w:sz w:val="32"/>
                <w:szCs w:val="32"/>
              </w:rPr>
              <w:t>大修服务</w:t>
            </w:r>
            <w:r>
              <w:rPr>
                <w:rFonts w:hint="eastAsia" w:ascii="仿宋_GB2312" w:hAnsi="宋体" w:eastAsia="仿宋_GB2312" w:cs="Times New Roman"/>
                <w:b/>
                <w:bCs/>
                <w:sz w:val="32"/>
                <w:szCs w:val="32"/>
                <w:lang w:eastAsia="zh-CN"/>
              </w:rPr>
              <w:t>项目</w:t>
            </w:r>
          </w:p>
        </w:tc>
        <w:tc>
          <w:tcPr>
            <w:tcW w:w="4587" w:type="dxa"/>
            <w:noWrap w:val="0"/>
            <w:vAlign w:val="center"/>
          </w:tcPr>
          <w:p>
            <w:pPr>
              <w:widowControl/>
              <w:jc w:val="center"/>
              <w:textAlignment w:val="center"/>
              <w:rPr>
                <w:rFonts w:hint="eastAsia" w:ascii="仿宋_GB2312" w:hAnsi="宋体" w:eastAsia="仿宋_GB2312" w:cs="仿宋_GB2312"/>
                <w:b/>
                <w:bCs/>
                <w:color w:val="000000"/>
                <w:kern w:val="0"/>
                <w:sz w:val="32"/>
                <w:szCs w:val="32"/>
                <w:lang w:eastAsia="zh-CN" w:bidi="ar"/>
              </w:rPr>
            </w:pPr>
            <w:r>
              <w:rPr>
                <w:rFonts w:hint="eastAsia" w:ascii="仿宋_GB2312" w:hAnsi="宋体" w:eastAsia="仿宋_GB2312" w:cs="仿宋_GB2312"/>
                <w:b/>
                <w:bCs/>
                <w:color w:val="000000"/>
                <w:kern w:val="0"/>
                <w:sz w:val="32"/>
                <w:szCs w:val="32"/>
                <w:lang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发动机大修</w:t>
            </w:r>
          </w:p>
        </w:tc>
        <w:tc>
          <w:tcPr>
            <w:tcW w:w="4587" w:type="dxa"/>
            <w:noWrap w:val="0"/>
            <w:vAlign w:val="center"/>
          </w:tcPr>
          <w:p>
            <w:pPr>
              <w:widowControl/>
              <w:jc w:val="center"/>
              <w:textAlignment w:val="center"/>
              <w:rPr>
                <w:rFonts w:hint="eastAsia" w:ascii="仿宋_GB2312" w:hAnsi="宋体" w:eastAsia="仿宋_GB2312" w:cs="仿宋_GB2312"/>
                <w:color w:val="000000"/>
                <w:kern w:val="0"/>
                <w:sz w:val="32"/>
                <w:szCs w:val="32"/>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离合器大修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变速器大修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后桥总成大修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前桥总成大修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制动系大修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转向系大修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全车烤漆</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车身大修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底盘大修</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bl>
    <w:p>
      <w:pPr>
        <w:spacing w:line="480" w:lineRule="auto"/>
        <w:ind w:left="239" w:leftChars="114" w:firstLine="320" w:firstLineChars="100"/>
        <w:rPr>
          <w:rFonts w:hAnsi="宋体"/>
          <w:sz w:val="32"/>
          <w:szCs w:val="32"/>
        </w:rPr>
      </w:pPr>
    </w:p>
    <w:tbl>
      <w:tblPr>
        <w:tblStyle w:val="1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hint="eastAsia" w:ascii="仿宋_GB2312" w:hAnsi="宋体" w:cs="仿宋_GB2312" w:eastAsiaTheme="minorEastAsia"/>
                <w:b/>
                <w:bCs w:val="0"/>
                <w:color w:val="000000"/>
                <w:sz w:val="32"/>
                <w:szCs w:val="32"/>
                <w:lang w:eastAsia="zh-CN"/>
              </w:rPr>
            </w:pPr>
            <w:r>
              <w:rPr>
                <w:rFonts w:hint="eastAsia" w:hAnsi="宋体"/>
                <w:b/>
                <w:bCs w:val="0"/>
                <w:sz w:val="32"/>
                <w:szCs w:val="32"/>
              </w:rPr>
              <w:t>小修服务</w:t>
            </w:r>
            <w:r>
              <w:rPr>
                <w:rFonts w:hint="eastAsia" w:hAnsi="宋体"/>
                <w:b/>
                <w:bCs w:val="0"/>
                <w:sz w:val="32"/>
                <w:szCs w:val="32"/>
                <w:lang w:eastAsia="zh-CN"/>
              </w:rPr>
              <w:t>项目</w:t>
            </w:r>
          </w:p>
        </w:tc>
        <w:tc>
          <w:tcPr>
            <w:tcW w:w="4587" w:type="dxa"/>
            <w:noWrap w:val="0"/>
            <w:vAlign w:val="center"/>
          </w:tcPr>
          <w:p>
            <w:pPr>
              <w:widowControl/>
              <w:jc w:val="center"/>
              <w:textAlignment w:val="center"/>
              <w:rPr>
                <w:rFonts w:ascii="仿宋_GB2312" w:hAnsi="宋体" w:eastAsia="仿宋_GB2312" w:cs="仿宋_GB2312"/>
                <w:b/>
                <w:bCs w:val="0"/>
                <w:color w:val="000000"/>
                <w:kern w:val="0"/>
                <w:sz w:val="32"/>
                <w:szCs w:val="32"/>
                <w:lang w:bidi="ar"/>
              </w:rPr>
            </w:pPr>
            <w:r>
              <w:rPr>
                <w:rFonts w:hint="eastAsia" w:ascii="仿宋_GB2312" w:hAnsi="宋体" w:eastAsia="仿宋_GB2312" w:cs="仿宋_GB2312"/>
                <w:b/>
                <w:bCs w:val="0"/>
                <w:color w:val="000000"/>
                <w:kern w:val="0"/>
                <w:sz w:val="32"/>
                <w:szCs w:val="32"/>
                <w:lang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更换发电机皮带</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shd w:val="clear" w:fill="92D050"/>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shd w:val="clear" w:fill="92D050"/>
                <w:lang w:bidi="ar"/>
              </w:rPr>
              <w:t>更换火花塞（套）</w:t>
            </w:r>
          </w:p>
        </w:tc>
        <w:tc>
          <w:tcPr>
            <w:tcW w:w="4587" w:type="dxa"/>
            <w:noWrap w:val="0"/>
            <w:vAlign w:val="bottom"/>
          </w:tcPr>
          <w:p>
            <w:pPr>
              <w:widowControl/>
              <w:shd w:val="clear" w:fill="92D050"/>
              <w:jc w:val="center"/>
              <w:textAlignment w:val="bottom"/>
              <w:rPr>
                <w:rFonts w:ascii="仿宋_GB2312" w:hAnsi="宋体" w:eastAsia="仿宋_GB2312" w:cs="仿宋_GB2312"/>
                <w:color w:val="FF0000"/>
                <w:kern w:val="0"/>
                <w:sz w:val="32"/>
                <w:szCs w:val="32"/>
                <w:shd w:val="clear" w:fill="92D05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更换起动机</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更换汽油泵</w:t>
            </w:r>
          </w:p>
        </w:tc>
        <w:tc>
          <w:tcPr>
            <w:tcW w:w="4587" w:type="dxa"/>
            <w:noWrap w:val="0"/>
            <w:vAlign w:val="bottom"/>
          </w:tcPr>
          <w:p>
            <w:pPr>
              <w:widowControl/>
              <w:jc w:val="center"/>
              <w:textAlignment w:val="bottom"/>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更换水泵</w:t>
            </w:r>
          </w:p>
        </w:tc>
        <w:tc>
          <w:tcPr>
            <w:tcW w:w="4587" w:type="dxa"/>
            <w:noWrap w:val="0"/>
            <w:vAlign w:val="bottom"/>
          </w:tcPr>
          <w:p>
            <w:pPr>
              <w:widowControl/>
              <w:jc w:val="center"/>
              <w:textAlignment w:val="bottom"/>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更换正时皮带</w:t>
            </w:r>
          </w:p>
        </w:tc>
        <w:tc>
          <w:tcPr>
            <w:tcW w:w="4587" w:type="dxa"/>
            <w:shd w:val="clear" w:color="auto" w:fill="92D050"/>
            <w:noWrap w:val="0"/>
            <w:vAlign w:val="bottom"/>
          </w:tcPr>
          <w:p>
            <w:pPr>
              <w:widowControl/>
              <w:jc w:val="center"/>
              <w:textAlignment w:val="bottom"/>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清洗调试化油器</w:t>
            </w:r>
          </w:p>
        </w:tc>
        <w:tc>
          <w:tcPr>
            <w:tcW w:w="4587" w:type="dxa"/>
            <w:shd w:val="clear" w:color="auto" w:fill="92D050"/>
            <w:noWrap w:val="0"/>
            <w:vAlign w:val="bottom"/>
          </w:tcPr>
          <w:p>
            <w:pPr>
              <w:widowControl/>
              <w:jc w:val="center"/>
              <w:textAlignment w:val="bottom"/>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清洗节气门体</w:t>
            </w:r>
          </w:p>
        </w:tc>
        <w:tc>
          <w:tcPr>
            <w:tcW w:w="4587" w:type="dxa"/>
            <w:noWrap w:val="0"/>
            <w:vAlign w:val="bottom"/>
          </w:tcPr>
          <w:p>
            <w:pPr>
              <w:widowControl/>
              <w:jc w:val="center"/>
              <w:textAlignment w:val="bottom"/>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换点火线圈</w:t>
            </w:r>
          </w:p>
        </w:tc>
        <w:tc>
          <w:tcPr>
            <w:tcW w:w="4587" w:type="dxa"/>
            <w:noWrap w:val="0"/>
            <w:vAlign w:val="top"/>
          </w:tcPr>
          <w:p>
            <w:pPr>
              <w:widowControl/>
              <w:jc w:val="center"/>
              <w:textAlignment w:val="top"/>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换活塞环</w:t>
            </w:r>
          </w:p>
        </w:tc>
        <w:tc>
          <w:tcPr>
            <w:tcW w:w="4587" w:type="dxa"/>
            <w:noWrap w:val="0"/>
            <w:vAlign w:val="top"/>
          </w:tcPr>
          <w:p>
            <w:pPr>
              <w:widowControl/>
              <w:jc w:val="center"/>
              <w:textAlignment w:val="top"/>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换前刹车分泵</w:t>
            </w:r>
          </w:p>
        </w:tc>
        <w:tc>
          <w:tcPr>
            <w:tcW w:w="4587" w:type="dxa"/>
            <w:noWrap w:val="0"/>
            <w:vAlign w:val="top"/>
          </w:tcPr>
          <w:p>
            <w:pPr>
              <w:widowControl/>
              <w:jc w:val="center"/>
              <w:textAlignment w:val="top"/>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更换后刹车片</w:t>
            </w:r>
          </w:p>
        </w:tc>
        <w:tc>
          <w:tcPr>
            <w:tcW w:w="4587" w:type="dxa"/>
            <w:shd w:val="clear" w:color="auto" w:fill="92D050"/>
            <w:noWrap w:val="0"/>
            <w:vAlign w:val="bottom"/>
          </w:tcPr>
          <w:p>
            <w:pPr>
              <w:widowControl/>
              <w:jc w:val="center"/>
              <w:textAlignment w:val="bottom"/>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更换前减震器</w:t>
            </w:r>
          </w:p>
        </w:tc>
        <w:tc>
          <w:tcPr>
            <w:tcW w:w="4587" w:type="dxa"/>
            <w:shd w:val="clear" w:color="auto" w:fill="92D050"/>
            <w:noWrap w:val="0"/>
            <w:vAlign w:val="bottom"/>
          </w:tcPr>
          <w:p>
            <w:pPr>
              <w:widowControl/>
              <w:jc w:val="center"/>
              <w:textAlignment w:val="bottom"/>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更换前刹车盘、片</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更换前刹车片</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更换外球笼</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更换下臂</w:t>
            </w:r>
          </w:p>
        </w:tc>
        <w:tc>
          <w:tcPr>
            <w:tcW w:w="4587" w:type="dxa"/>
            <w:noWrap w:val="0"/>
            <w:vAlign w:val="bottom"/>
          </w:tcPr>
          <w:p>
            <w:pPr>
              <w:widowControl/>
              <w:jc w:val="center"/>
              <w:textAlignment w:val="bottom"/>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更换下臂球头</w:t>
            </w:r>
          </w:p>
        </w:tc>
        <w:tc>
          <w:tcPr>
            <w:tcW w:w="4587" w:type="dxa"/>
            <w:noWrap w:val="0"/>
            <w:vAlign w:val="bottom"/>
          </w:tcPr>
          <w:p>
            <w:pPr>
              <w:widowControl/>
              <w:jc w:val="center"/>
              <w:textAlignment w:val="bottom"/>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更换转向横拉杆</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轮胎动平衡</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轮胎换位（全车）</w:t>
            </w:r>
          </w:p>
        </w:tc>
        <w:tc>
          <w:tcPr>
            <w:tcW w:w="4587" w:type="dxa"/>
            <w:shd w:val="clear" w:color="auto" w:fill="92D050"/>
            <w:noWrap w:val="0"/>
            <w:vAlign w:val="bottom"/>
          </w:tcPr>
          <w:p>
            <w:pPr>
              <w:widowControl/>
              <w:jc w:val="center"/>
              <w:textAlignment w:val="bottom"/>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四轮定位</w:t>
            </w:r>
          </w:p>
        </w:tc>
        <w:tc>
          <w:tcPr>
            <w:tcW w:w="4587" w:type="dxa"/>
            <w:shd w:val="clear" w:color="auto" w:fill="92D050"/>
            <w:noWrap w:val="0"/>
            <w:vAlign w:val="bottom"/>
          </w:tcPr>
          <w:p>
            <w:pPr>
              <w:widowControl/>
              <w:jc w:val="center"/>
              <w:textAlignment w:val="bottom"/>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修离合器换片</w:t>
            </w:r>
          </w:p>
        </w:tc>
        <w:tc>
          <w:tcPr>
            <w:tcW w:w="4587" w:type="dxa"/>
            <w:noWrap w:val="0"/>
            <w:vAlign w:val="top"/>
          </w:tcPr>
          <w:p>
            <w:pPr>
              <w:widowControl/>
              <w:jc w:val="center"/>
              <w:textAlignment w:val="top"/>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top"/>
          </w:tcPr>
          <w:p>
            <w:pPr>
              <w:widowControl/>
              <w:jc w:val="center"/>
              <w:textAlignment w:val="top"/>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换离合器总泵及碗</w:t>
            </w:r>
          </w:p>
        </w:tc>
        <w:tc>
          <w:tcPr>
            <w:tcW w:w="4587" w:type="dxa"/>
            <w:noWrap w:val="0"/>
            <w:vAlign w:val="top"/>
          </w:tcPr>
          <w:p>
            <w:pPr>
              <w:widowControl/>
              <w:jc w:val="center"/>
              <w:textAlignment w:val="top"/>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bottom"/>
          </w:tcPr>
          <w:p>
            <w:pPr>
              <w:widowControl/>
              <w:jc w:val="center"/>
              <w:textAlignment w:val="bottom"/>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更换灯泡</w:t>
            </w:r>
          </w:p>
        </w:tc>
        <w:tc>
          <w:tcPr>
            <w:tcW w:w="4587" w:type="dxa"/>
            <w:noWrap w:val="0"/>
            <w:vAlign w:val="bottom"/>
          </w:tcPr>
          <w:p>
            <w:pPr>
              <w:widowControl/>
              <w:jc w:val="center"/>
              <w:textAlignment w:val="bottom"/>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更换点火开关</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更换尾灯（总成）</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更换雾灯（前）</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检修线路</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修雨刷器</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换小灯总成</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shd w:val="clear" w:fill="92D050"/>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修刹车灯</w:t>
            </w:r>
          </w:p>
        </w:tc>
        <w:tc>
          <w:tcPr>
            <w:tcW w:w="4587" w:type="dxa"/>
            <w:noWrap w:val="0"/>
            <w:vAlign w:val="center"/>
          </w:tcPr>
          <w:p>
            <w:pPr>
              <w:widowControl/>
              <w:shd w:val="clear" w:fill="92D050"/>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换前风挡玻璃</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配门把</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修玻璃升降器</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4587" w:type="dxa"/>
            <w:noWrap w:val="0"/>
            <w:vAlign w:val="center"/>
          </w:tcPr>
          <w:p>
            <w:pPr>
              <w:widowControl/>
              <w:shd w:val="clear" w:fill="92D050"/>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局部烤漆</w:t>
            </w:r>
          </w:p>
        </w:tc>
        <w:tc>
          <w:tcPr>
            <w:tcW w:w="4587" w:type="dxa"/>
            <w:noWrap w:val="0"/>
            <w:vAlign w:val="center"/>
          </w:tcPr>
          <w:p>
            <w:pPr>
              <w:widowControl/>
              <w:shd w:val="clear" w:fill="92D050"/>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4" w:hRule="atLeast"/>
        </w:trPr>
        <w:tc>
          <w:tcPr>
            <w:tcW w:w="4587" w:type="dxa"/>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000000"/>
                <w:kern w:val="0"/>
                <w:sz w:val="32"/>
                <w:szCs w:val="32"/>
                <w:lang w:bidi="ar"/>
              </w:rPr>
              <w:t>车门锁块总成</w:t>
            </w:r>
          </w:p>
        </w:tc>
        <w:tc>
          <w:tcPr>
            <w:tcW w:w="4587" w:type="dxa"/>
            <w:noWrap w:val="0"/>
            <w:vAlign w:val="center"/>
          </w:tcPr>
          <w:p>
            <w:pPr>
              <w:widowControl/>
              <w:jc w:val="center"/>
              <w:textAlignment w:val="center"/>
              <w:rPr>
                <w:rFonts w:ascii="仿宋_GB2312" w:hAnsi="宋体" w:eastAsia="仿宋_GB2312" w:cs="仿宋_GB2312"/>
                <w:color w:val="000000"/>
                <w:kern w:val="0"/>
                <w:sz w:val="32"/>
                <w:szCs w:val="32"/>
                <w:lang w:bidi="ar"/>
              </w:rPr>
            </w:pPr>
          </w:p>
        </w:tc>
      </w:tr>
    </w:tbl>
    <w:p>
      <w:pPr>
        <w:spacing w:line="480" w:lineRule="auto"/>
        <w:jc w:val="both"/>
        <w:rPr>
          <w:rFonts w:hAnsi="宋体"/>
          <w:sz w:val="32"/>
          <w:szCs w:val="32"/>
        </w:rPr>
      </w:pPr>
    </w:p>
    <w:p>
      <w:pPr>
        <w:widowControl/>
        <w:spacing w:line="480" w:lineRule="auto"/>
        <w:jc w:val="left"/>
        <w:rPr>
          <w:rFonts w:hAnsi="宋体"/>
          <w:b w:val="0"/>
          <w:bCs/>
          <w:sz w:val="32"/>
          <w:szCs w:val="32"/>
        </w:rPr>
      </w:pPr>
      <w:r>
        <w:rPr>
          <w:rFonts w:hint="eastAsia" w:hAnsi="宋体"/>
          <w:b w:val="0"/>
          <w:bCs/>
          <w:sz w:val="32"/>
          <w:szCs w:val="32"/>
        </w:rPr>
        <w:t>3、</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4587" w:type="dxa"/>
            <w:shd w:val="clear" w:color="auto" w:fill="auto"/>
            <w:noWrap w:val="0"/>
            <w:vAlign w:val="center"/>
          </w:tcPr>
          <w:p>
            <w:pPr>
              <w:widowControl/>
              <w:jc w:val="center"/>
              <w:textAlignment w:val="center"/>
              <w:rPr>
                <w:rFonts w:hint="eastAsia" w:ascii="仿宋_GB2312" w:hAnsi="宋体" w:cs="仿宋_GB2312" w:eastAsiaTheme="minorEastAsia"/>
                <w:b/>
                <w:bCs w:val="0"/>
                <w:color w:val="auto"/>
                <w:sz w:val="32"/>
                <w:szCs w:val="32"/>
                <w:lang w:eastAsia="zh-CN"/>
              </w:rPr>
            </w:pPr>
            <w:r>
              <w:rPr>
                <w:rFonts w:hint="eastAsia" w:hAnsi="宋体"/>
                <w:b/>
                <w:bCs w:val="0"/>
                <w:color w:val="auto"/>
                <w:sz w:val="32"/>
                <w:szCs w:val="32"/>
              </w:rPr>
              <w:t>基本维护</w:t>
            </w:r>
            <w:r>
              <w:rPr>
                <w:rFonts w:hint="eastAsia" w:hAnsi="宋体"/>
                <w:b/>
                <w:bCs w:val="0"/>
                <w:color w:val="auto"/>
                <w:sz w:val="32"/>
                <w:szCs w:val="32"/>
                <w:lang w:eastAsia="zh-CN"/>
              </w:rPr>
              <w:t>项目</w:t>
            </w:r>
          </w:p>
        </w:tc>
        <w:tc>
          <w:tcPr>
            <w:tcW w:w="4587" w:type="dxa"/>
            <w:shd w:val="clear" w:color="auto" w:fill="auto"/>
            <w:noWrap w:val="0"/>
            <w:vAlign w:val="center"/>
          </w:tcPr>
          <w:p>
            <w:pPr>
              <w:widowControl/>
              <w:jc w:val="center"/>
              <w:textAlignment w:val="center"/>
              <w:rPr>
                <w:rFonts w:hint="eastAsia" w:ascii="仿宋_GB2312" w:hAnsi="宋体" w:eastAsia="仿宋_GB2312" w:cs="仿宋_GB2312"/>
                <w:b/>
                <w:bCs w:val="0"/>
                <w:color w:val="auto"/>
                <w:kern w:val="0"/>
                <w:sz w:val="32"/>
                <w:szCs w:val="32"/>
                <w:lang w:eastAsia="zh-CN" w:bidi="ar"/>
              </w:rPr>
            </w:pPr>
            <w:r>
              <w:rPr>
                <w:rFonts w:hint="eastAsia" w:ascii="仿宋_GB2312" w:hAnsi="宋体" w:eastAsia="仿宋_GB2312" w:cs="仿宋_GB2312"/>
                <w:b/>
                <w:bCs w:val="0"/>
                <w:color w:val="auto"/>
                <w:kern w:val="0"/>
                <w:sz w:val="32"/>
                <w:szCs w:val="32"/>
                <w:lang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r>
              <w:rPr>
                <w:rFonts w:ascii="仿宋_GB2312" w:hAnsi="宋体" w:eastAsia="仿宋_GB2312" w:cs="仿宋_GB2312"/>
                <w:color w:val="FF0000"/>
                <w:kern w:val="0"/>
                <w:sz w:val="32"/>
                <w:szCs w:val="32"/>
                <w:lang w:bidi="ar"/>
              </w:rPr>
              <w:t>换空调滤芯</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换机油,换三滤</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换机油,机滤</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换空滤</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换汽滤</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rPr>
        <w:tc>
          <w:tcPr>
            <w:tcW w:w="4587" w:type="dxa"/>
            <w:shd w:val="clear" w:color="auto" w:fill="92D050"/>
            <w:noWrap w:val="0"/>
            <w:vAlign w:val="center"/>
          </w:tcPr>
          <w:p>
            <w:pPr>
              <w:widowControl/>
              <w:jc w:val="center"/>
              <w:textAlignment w:val="center"/>
              <w:rPr>
                <w:rFonts w:ascii="仿宋_GB2312" w:hAnsi="宋体" w:eastAsia="仿宋_GB2312" w:cs="仿宋_GB2312"/>
                <w:color w:val="000000"/>
                <w:sz w:val="32"/>
                <w:szCs w:val="32"/>
              </w:rPr>
            </w:pPr>
            <w:r>
              <w:rPr>
                <w:rFonts w:ascii="仿宋_GB2312" w:hAnsi="宋体" w:eastAsia="仿宋_GB2312" w:cs="仿宋_GB2312"/>
                <w:color w:val="FF0000"/>
                <w:kern w:val="0"/>
                <w:sz w:val="32"/>
                <w:szCs w:val="32"/>
                <w:lang w:bidi="ar"/>
              </w:rPr>
              <w:t>换防冻液</w:t>
            </w:r>
          </w:p>
        </w:tc>
        <w:tc>
          <w:tcPr>
            <w:tcW w:w="4587" w:type="dxa"/>
            <w:shd w:val="clear" w:color="auto" w:fill="92D050"/>
            <w:noWrap w:val="0"/>
            <w:vAlign w:val="center"/>
          </w:tcPr>
          <w:p>
            <w:pPr>
              <w:widowControl/>
              <w:jc w:val="center"/>
              <w:textAlignment w:val="center"/>
              <w:rPr>
                <w:rFonts w:ascii="仿宋_GB2312" w:hAnsi="宋体" w:eastAsia="仿宋_GB2312" w:cs="仿宋_GB2312"/>
                <w:color w:val="FF0000"/>
                <w:kern w:val="0"/>
                <w:sz w:val="32"/>
                <w:szCs w:val="32"/>
                <w:lang w:bidi="ar"/>
              </w:rPr>
            </w:pPr>
          </w:p>
        </w:tc>
      </w:tr>
    </w:tbl>
    <w:p>
      <w:pPr>
        <w:widowControl/>
        <w:jc w:val="left"/>
        <w:rPr>
          <w:rFonts w:hAnsi="宋体"/>
          <w:b w:val="0"/>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b/>
                <w:bCs w:val="0"/>
                <w:sz w:val="32"/>
                <w:szCs w:val="32"/>
              </w:rPr>
            </w:pPr>
            <w:r>
              <w:rPr>
                <w:rFonts w:hint="eastAsia" w:hAnsi="宋体"/>
                <w:b/>
                <w:bCs w:val="0"/>
                <w:sz w:val="32"/>
                <w:szCs w:val="32"/>
              </w:rPr>
              <w:t>维修所需材料</w:t>
            </w:r>
          </w:p>
        </w:tc>
        <w:tc>
          <w:tcPr>
            <w:tcW w:w="4680" w:type="dxa"/>
            <w:noWrap w:val="0"/>
            <w:vAlign w:val="center"/>
          </w:tcPr>
          <w:p>
            <w:pPr>
              <w:ind w:left="210" w:leftChars="100" w:right="210" w:rightChars="100"/>
              <w:jc w:val="center"/>
              <w:rPr>
                <w:rFonts w:hint="eastAsia" w:ascii="仿宋_GB2312" w:eastAsia="仿宋_GB2312"/>
                <w:b/>
                <w:bCs w:val="0"/>
                <w:sz w:val="32"/>
                <w:szCs w:val="32"/>
                <w:lang w:eastAsia="zh-CN"/>
              </w:rPr>
            </w:pPr>
            <w:r>
              <w:rPr>
                <w:rFonts w:hint="eastAsia" w:ascii="仿宋_GB2312" w:eastAsia="仿宋_GB2312"/>
                <w:b/>
                <w:bCs w:val="0"/>
                <w:sz w:val="32"/>
                <w:szCs w:val="32"/>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hint="eastAsia" w:ascii="仿宋_GB2312" w:eastAsia="仿宋_GB2312"/>
                <w:sz w:val="32"/>
                <w:szCs w:val="32"/>
              </w:rPr>
            </w:pPr>
            <w:r>
              <w:rPr>
                <w:rFonts w:hint="eastAsia" w:ascii="仿宋_GB2312" w:eastAsia="仿宋_GB2312"/>
                <w:sz w:val="32"/>
                <w:szCs w:val="32"/>
              </w:rPr>
              <w:t>更换空调压缩机</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机油滤清器</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燃油滤清器</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发动机</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空气滤清器</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前刹车片</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后刹车片</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离合器片</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离合器压盘</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离合器分离轴承</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火花塞（单个）</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前减震器</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92D050"/>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color w:val="FF0000"/>
                <w:sz w:val="32"/>
                <w:szCs w:val="32"/>
              </w:rPr>
              <w:t>后减震器</w:t>
            </w:r>
          </w:p>
        </w:tc>
        <w:tc>
          <w:tcPr>
            <w:tcW w:w="4680" w:type="dxa"/>
            <w:shd w:val="clear" w:color="auto" w:fill="92D050"/>
            <w:noWrap w:val="0"/>
            <w:vAlign w:val="center"/>
          </w:tcPr>
          <w:p>
            <w:pPr>
              <w:ind w:left="210" w:leftChars="100" w:right="210" w:rightChars="100"/>
              <w:jc w:val="center"/>
              <w:rPr>
                <w:rFonts w:hint="eastAsia" w:asci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雨刮器片</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车门把手</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玻璃升降器总成</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发电机</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center"/>
          </w:tcPr>
          <w:p>
            <w:pPr>
              <w:ind w:left="210" w:leftChars="100" w:right="210" w:rightChars="100"/>
              <w:jc w:val="center"/>
              <w:rPr>
                <w:rFonts w:ascii="仿宋_GB2312" w:eastAsia="仿宋_GB2312"/>
                <w:sz w:val="32"/>
                <w:szCs w:val="32"/>
              </w:rPr>
            </w:pPr>
            <w:r>
              <w:rPr>
                <w:rFonts w:hint="eastAsia" w:ascii="仿宋_GB2312" w:eastAsia="仿宋_GB2312"/>
                <w:sz w:val="32"/>
                <w:szCs w:val="32"/>
              </w:rPr>
              <w:t>起动机</w:t>
            </w:r>
          </w:p>
        </w:tc>
        <w:tc>
          <w:tcPr>
            <w:tcW w:w="4680" w:type="dxa"/>
            <w:noWrap w:val="0"/>
            <w:vAlign w:val="center"/>
          </w:tcPr>
          <w:p>
            <w:pPr>
              <w:ind w:left="210" w:leftChars="100" w:right="210" w:rightChars="100"/>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shd w:val="clear" w:color="auto" w:fill="70AD47" w:themeFill="accent6"/>
            <w:noWrap w:val="0"/>
            <w:vAlign w:val="top"/>
          </w:tcPr>
          <w:p>
            <w:pPr>
              <w:shd w:val="clear" w:fill="92D050"/>
              <w:jc w:val="center"/>
              <w:rPr>
                <w:rFonts w:ascii="仿宋_GB2312" w:eastAsia="仿宋_GB2312"/>
                <w:sz w:val="32"/>
                <w:szCs w:val="32"/>
                <w:highlight w:val="none"/>
              </w:rPr>
            </w:pPr>
            <w:r>
              <w:rPr>
                <w:rFonts w:hint="eastAsia" w:ascii="仿宋_GB2312" w:eastAsia="仿宋_GB2312"/>
                <w:color w:val="FF0000"/>
                <w:sz w:val="32"/>
                <w:szCs w:val="32"/>
                <w:highlight w:val="none"/>
              </w:rPr>
              <w:t>电瓶（大、小）</w:t>
            </w:r>
          </w:p>
        </w:tc>
        <w:tc>
          <w:tcPr>
            <w:tcW w:w="4680" w:type="dxa"/>
            <w:shd w:val="clear" w:color="auto" w:fill="70AD47" w:themeFill="accent6"/>
            <w:noWrap w:val="0"/>
            <w:vAlign w:val="top"/>
          </w:tcPr>
          <w:p>
            <w:pPr>
              <w:shd w:val="clear" w:fill="92D050"/>
              <w:jc w:val="center"/>
              <w:rPr>
                <w:rFonts w:hint="eastAsia" w:ascii="仿宋_GB2312" w:eastAsia="仿宋_GB2312"/>
                <w:color w:val="FF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80" w:type="dxa"/>
            <w:noWrap w:val="0"/>
            <w:vAlign w:val="top"/>
          </w:tcPr>
          <w:p>
            <w:pPr>
              <w:jc w:val="center"/>
              <w:rPr>
                <w:rFonts w:ascii="仿宋_GB2312" w:eastAsia="仿宋_GB2312"/>
                <w:sz w:val="32"/>
                <w:szCs w:val="32"/>
              </w:rPr>
            </w:pPr>
            <w:r>
              <w:rPr>
                <w:rFonts w:hint="eastAsia" w:ascii="仿宋_GB2312" w:eastAsia="仿宋_GB2312"/>
                <w:sz w:val="32"/>
                <w:szCs w:val="32"/>
              </w:rPr>
              <w:t>前后轴承</w:t>
            </w:r>
          </w:p>
        </w:tc>
        <w:tc>
          <w:tcPr>
            <w:tcW w:w="4680" w:type="dxa"/>
            <w:noWrap w:val="0"/>
            <w:vAlign w:val="top"/>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680" w:type="dxa"/>
            <w:noWrap w:val="0"/>
            <w:vAlign w:val="top"/>
          </w:tcPr>
          <w:p>
            <w:pPr>
              <w:jc w:val="center"/>
              <w:rPr>
                <w:rFonts w:ascii="仿宋_GB2312" w:eastAsia="仿宋_GB2312"/>
                <w:sz w:val="32"/>
                <w:szCs w:val="32"/>
              </w:rPr>
            </w:pPr>
            <w:r>
              <w:rPr>
                <w:rFonts w:hint="eastAsia" w:ascii="仿宋_GB2312" w:eastAsia="仿宋_GB2312"/>
                <w:sz w:val="32"/>
                <w:szCs w:val="32"/>
              </w:rPr>
              <w:t>大灯总成</w:t>
            </w:r>
          </w:p>
        </w:tc>
        <w:tc>
          <w:tcPr>
            <w:tcW w:w="4680" w:type="dxa"/>
            <w:noWrap w:val="0"/>
            <w:vAlign w:val="top"/>
          </w:tcPr>
          <w:p>
            <w:pPr>
              <w:jc w:val="center"/>
              <w:rPr>
                <w:rFonts w:hint="eastAsia" w:ascii="仿宋_GB2312" w:eastAsia="仿宋_GB2312"/>
                <w:sz w:val="32"/>
                <w:szCs w:val="32"/>
              </w:rPr>
            </w:pPr>
          </w:p>
        </w:tc>
      </w:tr>
    </w:tbl>
    <w:p>
      <w:pPr>
        <w:jc w:val="center"/>
        <w:rPr>
          <w:color w:val="auto"/>
          <w:sz w:val="24"/>
          <w:highlight w:val="none"/>
        </w:rPr>
      </w:pPr>
    </w:p>
    <w:p>
      <w:pPr>
        <w:jc w:val="center"/>
        <w:rPr>
          <w:color w:val="auto"/>
          <w:sz w:val="24"/>
          <w:highlight w:val="none"/>
        </w:rPr>
      </w:pPr>
    </w:p>
    <w:p>
      <w:pPr>
        <w:jc w:val="center"/>
        <w:rPr>
          <w:color w:val="auto"/>
          <w:sz w:val="24"/>
          <w:highlight w:val="none"/>
        </w:rPr>
      </w:pPr>
    </w:p>
    <w:p>
      <w:pPr>
        <w:pStyle w:val="8"/>
        <w:spacing w:line="460" w:lineRule="exact"/>
        <w:jc w:val="left"/>
        <w:outlineLvl w:val="0"/>
        <w:rPr>
          <w:rFonts w:cs="宋体"/>
          <w:b/>
          <w:bCs/>
          <w:color w:val="auto"/>
          <w:sz w:val="32"/>
          <w:szCs w:val="32"/>
          <w:highlight w:val="none"/>
        </w:rPr>
      </w:pPr>
    </w:p>
    <w:p>
      <w:pPr>
        <w:pStyle w:val="8"/>
        <w:spacing w:line="460" w:lineRule="exact"/>
        <w:jc w:val="left"/>
        <w:outlineLvl w:val="0"/>
        <w:rPr>
          <w:rFonts w:cs="宋体"/>
          <w:b/>
          <w:bCs/>
          <w:color w:val="auto"/>
          <w:sz w:val="32"/>
          <w:szCs w:val="32"/>
          <w:highlight w:val="none"/>
        </w:rPr>
      </w:pPr>
    </w:p>
    <w:p>
      <w:pPr>
        <w:pStyle w:val="8"/>
        <w:spacing w:line="460" w:lineRule="exact"/>
        <w:jc w:val="left"/>
        <w:outlineLvl w:val="0"/>
        <w:rPr>
          <w:rFonts w:cs="宋体"/>
          <w:b/>
          <w:bCs/>
          <w:color w:val="auto"/>
          <w:sz w:val="32"/>
          <w:szCs w:val="32"/>
          <w:highlight w:val="none"/>
        </w:rPr>
      </w:pPr>
    </w:p>
    <w:p>
      <w:pPr>
        <w:pStyle w:val="8"/>
        <w:spacing w:line="460" w:lineRule="exact"/>
        <w:jc w:val="left"/>
        <w:outlineLvl w:val="0"/>
        <w:rPr>
          <w:rFonts w:cs="宋体"/>
          <w:b/>
          <w:bCs/>
          <w:color w:val="auto"/>
          <w:sz w:val="32"/>
          <w:szCs w:val="32"/>
          <w:highlight w:val="none"/>
        </w:rPr>
      </w:pPr>
    </w:p>
    <w:p>
      <w:pPr>
        <w:pStyle w:val="8"/>
        <w:spacing w:after="145" w:afterLines="50" w:line="400" w:lineRule="exact"/>
        <w:jc w:val="left"/>
        <w:rPr>
          <w:rFonts w:cs="宋体"/>
          <w:b/>
          <w:bCs/>
          <w:color w:val="auto"/>
          <w:sz w:val="32"/>
          <w:szCs w:val="32"/>
          <w:highlight w:val="none"/>
        </w:rPr>
      </w:pPr>
      <w:r>
        <w:rPr>
          <w:rFonts w:hint="eastAsia" w:cs="宋体"/>
          <w:b/>
          <w:bCs/>
          <w:color w:val="auto"/>
          <w:sz w:val="32"/>
          <w:szCs w:val="32"/>
          <w:highlight w:val="none"/>
        </w:rPr>
        <w:t>附件四：</w:t>
      </w:r>
    </w:p>
    <w:p>
      <w:pPr>
        <w:pStyle w:val="6"/>
        <w:spacing w:before="0" w:after="0" w:line="360" w:lineRule="auto"/>
        <w:ind w:left="641" w:hanging="641"/>
        <w:jc w:val="center"/>
        <w:rPr>
          <w:rFonts w:ascii="宋体" w:hAnsi="宋体" w:eastAsia="宋体" w:cs="宋体"/>
          <w:b/>
          <w:color w:val="auto"/>
          <w:sz w:val="32"/>
          <w:highlight w:val="none"/>
        </w:rPr>
      </w:pPr>
      <w:r>
        <w:rPr>
          <w:rFonts w:hint="eastAsia" w:ascii="宋体" w:hAnsi="宋体" w:eastAsia="宋体" w:cs="宋体"/>
          <w:b/>
          <w:color w:val="auto"/>
          <w:sz w:val="32"/>
          <w:highlight w:val="none"/>
        </w:rPr>
        <w:t>供应商基本情况表</w:t>
      </w:r>
    </w:p>
    <w:p>
      <w:pPr>
        <w:ind w:firstLine="720" w:firstLineChars="300"/>
        <w:rPr>
          <w:rFonts w:ascii="宋体" w:hAnsi="宋体" w:cs="宋体"/>
          <w:color w:val="auto"/>
          <w:szCs w:val="21"/>
          <w:highlight w:val="none"/>
          <w:u w:val="single"/>
        </w:rPr>
      </w:pPr>
      <w:r>
        <w:rPr>
          <w:rFonts w:hint="eastAsia" w:ascii="宋体" w:hAnsi="宋体" w:cs="宋体"/>
          <w:color w:val="auto"/>
          <w:sz w:val="24"/>
          <w:highlight w:val="none"/>
        </w:rPr>
        <w:t>项目编号：          项目名称：</w:t>
      </w:r>
    </w:p>
    <w:tbl>
      <w:tblPr>
        <w:tblStyle w:val="16"/>
        <w:tblW w:w="94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76"/>
        <w:gridCol w:w="1294"/>
        <w:gridCol w:w="1419"/>
        <w:gridCol w:w="758"/>
        <w:gridCol w:w="198"/>
        <w:gridCol w:w="445"/>
        <w:gridCol w:w="940"/>
        <w:gridCol w:w="524"/>
        <w:gridCol w:w="86"/>
        <w:gridCol w:w="17"/>
        <w:gridCol w:w="1154"/>
        <w:gridCol w:w="62"/>
        <w:gridCol w:w="106"/>
        <w:gridCol w:w="63"/>
        <w:gridCol w:w="16"/>
        <w:gridCol w:w="33"/>
        <w:gridCol w:w="665"/>
        <w:gridCol w:w="86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7350" w:type="dxa"/>
            <w:gridSpan w:val="16"/>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经营地址</w:t>
            </w:r>
          </w:p>
        </w:tc>
        <w:tc>
          <w:tcPr>
            <w:tcW w:w="4387" w:type="dxa"/>
            <w:gridSpan w:val="8"/>
            <w:vAlign w:val="center"/>
          </w:tcPr>
          <w:p>
            <w:pPr>
              <w:rPr>
                <w:rFonts w:ascii="宋体" w:hAnsi="宋体" w:eastAsia="宋体" w:cs="宋体"/>
                <w:color w:val="auto"/>
                <w:sz w:val="24"/>
                <w:highlight w:val="none"/>
              </w:rPr>
            </w:pPr>
          </w:p>
        </w:tc>
        <w:tc>
          <w:tcPr>
            <w:tcW w:w="1322"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641" w:type="dxa"/>
            <w:gridSpan w:val="5"/>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企业注册地址</w:t>
            </w:r>
          </w:p>
        </w:tc>
        <w:tc>
          <w:tcPr>
            <w:tcW w:w="4387" w:type="dxa"/>
            <w:gridSpan w:val="8"/>
            <w:vAlign w:val="center"/>
          </w:tcPr>
          <w:p>
            <w:pPr>
              <w:rPr>
                <w:rFonts w:ascii="宋体" w:hAnsi="宋体" w:eastAsia="宋体" w:cs="宋体"/>
                <w:color w:val="auto"/>
                <w:sz w:val="24"/>
                <w:highlight w:val="none"/>
              </w:rPr>
            </w:pPr>
          </w:p>
        </w:tc>
        <w:tc>
          <w:tcPr>
            <w:tcW w:w="1322"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传真电话</w:t>
            </w:r>
          </w:p>
        </w:tc>
        <w:tc>
          <w:tcPr>
            <w:tcW w:w="1641" w:type="dxa"/>
            <w:gridSpan w:val="5"/>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820" w:type="dxa"/>
            <w:gridSpan w:val="4"/>
            <w:vAlign w:val="center"/>
          </w:tcPr>
          <w:p>
            <w:pPr>
              <w:rPr>
                <w:rFonts w:ascii="宋体" w:hAnsi="宋体" w:eastAsia="宋体" w:cs="宋体"/>
                <w:color w:val="auto"/>
                <w:sz w:val="24"/>
                <w:highlight w:val="none"/>
              </w:rPr>
            </w:pPr>
          </w:p>
        </w:tc>
        <w:tc>
          <w:tcPr>
            <w:tcW w:w="1567"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电子信箱</w:t>
            </w:r>
          </w:p>
        </w:tc>
        <w:tc>
          <w:tcPr>
            <w:tcW w:w="2963" w:type="dxa"/>
            <w:gridSpan w:val="8"/>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工商执照号</w:t>
            </w:r>
          </w:p>
        </w:tc>
        <w:tc>
          <w:tcPr>
            <w:tcW w:w="2375" w:type="dxa"/>
            <w:gridSpan w:val="3"/>
            <w:vAlign w:val="center"/>
          </w:tcPr>
          <w:p>
            <w:pPr>
              <w:rPr>
                <w:rFonts w:ascii="宋体" w:hAnsi="宋体" w:eastAsia="宋体" w:cs="宋体"/>
                <w:color w:val="auto"/>
                <w:sz w:val="24"/>
                <w:highlight w:val="none"/>
              </w:rPr>
            </w:pPr>
          </w:p>
        </w:tc>
        <w:tc>
          <w:tcPr>
            <w:tcW w:w="3166" w:type="dxa"/>
            <w:gridSpan w:val="6"/>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机动车维修经营许可证编号</w:t>
            </w:r>
          </w:p>
        </w:tc>
        <w:tc>
          <w:tcPr>
            <w:tcW w:w="1809" w:type="dxa"/>
            <w:gridSpan w:val="7"/>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经济类型</w:t>
            </w:r>
          </w:p>
        </w:tc>
        <w:tc>
          <w:tcPr>
            <w:tcW w:w="2820" w:type="dxa"/>
            <w:gridSpan w:val="4"/>
            <w:vAlign w:val="center"/>
          </w:tcPr>
          <w:p>
            <w:pPr>
              <w:rPr>
                <w:rFonts w:ascii="宋体" w:hAnsi="宋体" w:eastAsia="宋体" w:cs="宋体"/>
                <w:color w:val="auto"/>
                <w:sz w:val="24"/>
                <w:highlight w:val="none"/>
              </w:rPr>
            </w:pPr>
          </w:p>
        </w:tc>
        <w:tc>
          <w:tcPr>
            <w:tcW w:w="1567"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2963" w:type="dxa"/>
            <w:gridSpan w:val="8"/>
            <w:vAlign w:val="center"/>
          </w:tcPr>
          <w:p>
            <w:pPr>
              <w:ind w:firstLine="1920" w:firstLineChars="800"/>
              <w:rPr>
                <w:rFonts w:ascii="宋体" w:hAnsi="宋体" w:eastAsia="宋体" w:cs="宋体"/>
                <w:color w:val="auto"/>
                <w:sz w:val="24"/>
                <w:highlight w:val="none"/>
              </w:rPr>
            </w:pPr>
            <w:r>
              <w:rPr>
                <w:rFonts w:hint="eastAsia" w:ascii="宋体" w:hAnsi="宋体" w:eastAsia="宋体" w:cs="宋体"/>
                <w:color w:val="auto"/>
                <w:sz w:val="24"/>
                <w:highlight w:val="none"/>
              </w:rPr>
              <w:t>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2820" w:type="dxa"/>
            <w:gridSpan w:val="4"/>
            <w:vAlign w:val="center"/>
          </w:tcPr>
          <w:p>
            <w:pPr>
              <w:rPr>
                <w:rFonts w:ascii="宋体" w:hAnsi="宋体" w:eastAsia="宋体" w:cs="宋体"/>
                <w:color w:val="auto"/>
                <w:sz w:val="24"/>
                <w:highlight w:val="none"/>
              </w:rPr>
            </w:pPr>
          </w:p>
        </w:tc>
        <w:tc>
          <w:tcPr>
            <w:tcW w:w="1567"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帐   号</w:t>
            </w:r>
          </w:p>
        </w:tc>
        <w:tc>
          <w:tcPr>
            <w:tcW w:w="2963" w:type="dxa"/>
            <w:gridSpan w:val="8"/>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4247"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机动车维修经营许可证许可的经营范围</w:t>
            </w:r>
          </w:p>
        </w:tc>
        <w:tc>
          <w:tcPr>
            <w:tcW w:w="5173" w:type="dxa"/>
            <w:gridSpan w:val="14"/>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主修车型</w:t>
            </w:r>
          </w:p>
        </w:tc>
        <w:tc>
          <w:tcPr>
            <w:tcW w:w="7350" w:type="dxa"/>
            <w:gridSpan w:val="16"/>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所在国省道代码</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路线名称</w:t>
            </w:r>
          </w:p>
        </w:tc>
        <w:tc>
          <w:tcPr>
            <w:tcW w:w="1550" w:type="dxa"/>
            <w:gridSpan w:val="3"/>
            <w:vAlign w:val="center"/>
          </w:tcPr>
          <w:p>
            <w:pPr>
              <w:rPr>
                <w:rFonts w:ascii="宋体" w:hAnsi="宋体" w:eastAsia="宋体" w:cs="宋体"/>
                <w:color w:val="auto"/>
                <w:sz w:val="24"/>
                <w:highlight w:val="none"/>
              </w:rPr>
            </w:pPr>
          </w:p>
        </w:tc>
        <w:tc>
          <w:tcPr>
            <w:tcW w:w="1402" w:type="dxa"/>
            <w:gridSpan w:val="5"/>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桩号里程</w:t>
            </w:r>
          </w:p>
        </w:tc>
        <w:tc>
          <w:tcPr>
            <w:tcW w:w="1578" w:type="dxa"/>
            <w:gridSpan w:val="4"/>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是否特约维修</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特约车型</w:t>
            </w:r>
          </w:p>
        </w:tc>
        <w:tc>
          <w:tcPr>
            <w:tcW w:w="1550" w:type="dxa"/>
            <w:gridSpan w:val="3"/>
            <w:vAlign w:val="center"/>
          </w:tcPr>
          <w:p>
            <w:pPr>
              <w:ind w:left="2637"/>
              <w:rPr>
                <w:rFonts w:ascii="宋体" w:hAnsi="宋体" w:eastAsia="宋体" w:cs="宋体"/>
                <w:color w:val="auto"/>
                <w:sz w:val="24"/>
                <w:highlight w:val="none"/>
              </w:rPr>
            </w:pPr>
          </w:p>
        </w:tc>
        <w:tc>
          <w:tcPr>
            <w:tcW w:w="2980" w:type="dxa"/>
            <w:gridSpan w:val="9"/>
            <w:vAlign w:val="center"/>
          </w:tcPr>
          <w:p>
            <w:pPr>
              <w:ind w:left="2637"/>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是否救援服务</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救援车辆数</w:t>
            </w:r>
          </w:p>
        </w:tc>
        <w:tc>
          <w:tcPr>
            <w:tcW w:w="940" w:type="dxa"/>
            <w:vAlign w:val="center"/>
          </w:tcPr>
          <w:p>
            <w:pPr>
              <w:rPr>
                <w:rFonts w:ascii="宋体" w:hAnsi="宋体" w:eastAsia="宋体" w:cs="宋体"/>
                <w:color w:val="auto"/>
                <w:sz w:val="24"/>
                <w:highlight w:val="none"/>
              </w:rPr>
            </w:pPr>
          </w:p>
        </w:tc>
        <w:tc>
          <w:tcPr>
            <w:tcW w:w="2028" w:type="dxa"/>
            <w:gridSpan w:val="8"/>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24小时救援电话</w:t>
            </w:r>
          </w:p>
        </w:tc>
        <w:tc>
          <w:tcPr>
            <w:tcW w:w="1562" w:type="dxa"/>
            <w:gridSpan w:val="3"/>
            <w:vAlign w:val="center"/>
          </w:tcPr>
          <w:p>
            <w:pPr>
              <w:ind w:left="717"/>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是否连锁经营</w:t>
            </w:r>
          </w:p>
        </w:tc>
        <w:tc>
          <w:tcPr>
            <w:tcW w:w="1419" w:type="dxa"/>
            <w:vAlign w:val="center"/>
          </w:tcPr>
          <w:p>
            <w:pPr>
              <w:rPr>
                <w:rFonts w:ascii="宋体" w:hAnsi="宋体" w:eastAsia="宋体" w:cs="宋体"/>
                <w:color w:val="auto"/>
                <w:sz w:val="24"/>
                <w:highlight w:val="none"/>
              </w:rPr>
            </w:pPr>
          </w:p>
        </w:tc>
        <w:tc>
          <w:tcPr>
            <w:tcW w:w="2865" w:type="dxa"/>
            <w:gridSpan w:val="5"/>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设立技术服务公司地址</w:t>
            </w:r>
          </w:p>
        </w:tc>
        <w:tc>
          <w:tcPr>
            <w:tcW w:w="3066" w:type="dxa"/>
            <w:gridSpan w:val="10"/>
            <w:vAlign w:val="center"/>
          </w:tcPr>
          <w:p>
            <w:pPr>
              <w:ind w:firstLine="1440" w:firstLineChars="600"/>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Merge w:val="restart"/>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场地面积</w:t>
            </w:r>
          </w:p>
          <w:p>
            <w:pPr>
              <w:rPr>
                <w:rFonts w:ascii="宋体" w:hAnsi="宋体" w:eastAsia="宋体" w:cs="宋体"/>
                <w:color w:val="auto"/>
                <w:sz w:val="24"/>
                <w:highlight w:val="none"/>
              </w:rPr>
            </w:pPr>
            <w:r>
              <w:rPr>
                <w:rFonts w:hint="eastAsia" w:ascii="宋体" w:hAnsi="宋体" w:eastAsia="宋体" w:cs="宋体"/>
                <w:color w:val="auto"/>
                <w:sz w:val="24"/>
                <w:highlight w:val="none"/>
              </w:rPr>
              <w:t>(平方米)</w:t>
            </w:r>
          </w:p>
        </w:tc>
        <w:tc>
          <w:tcPr>
            <w:tcW w:w="1419"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场地总面积</w:t>
            </w: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厂房面积</w:t>
            </w:r>
          </w:p>
        </w:tc>
        <w:tc>
          <w:tcPr>
            <w:tcW w:w="1464"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办公室面积</w:t>
            </w:r>
          </w:p>
        </w:tc>
        <w:tc>
          <w:tcPr>
            <w:tcW w:w="1537" w:type="dxa"/>
            <w:gridSpan w:val="8"/>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接待室面积</w:t>
            </w:r>
          </w:p>
        </w:tc>
        <w:tc>
          <w:tcPr>
            <w:tcW w:w="1529"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停车场面积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Merge w:val="continue"/>
            <w:vAlign w:val="center"/>
          </w:tcPr>
          <w:p>
            <w:pPr>
              <w:rPr>
                <w:rFonts w:ascii="宋体" w:hAnsi="宋体" w:eastAsia="宋体" w:cs="宋体"/>
                <w:color w:val="auto"/>
                <w:sz w:val="24"/>
                <w:highlight w:val="none"/>
              </w:rPr>
            </w:pP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ind w:left="300"/>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537" w:type="dxa"/>
            <w:gridSpan w:val="8"/>
            <w:vAlign w:val="center"/>
          </w:tcPr>
          <w:p>
            <w:pPr>
              <w:rPr>
                <w:rFonts w:ascii="宋体" w:hAnsi="宋体" w:eastAsia="宋体" w:cs="宋体"/>
                <w:color w:val="auto"/>
                <w:sz w:val="24"/>
                <w:highlight w:val="none"/>
              </w:rPr>
            </w:pPr>
          </w:p>
        </w:tc>
        <w:tc>
          <w:tcPr>
            <w:tcW w:w="1529" w:type="dxa"/>
            <w:gridSpan w:val="2"/>
            <w:vAlign w:val="center"/>
          </w:tcPr>
          <w:p>
            <w:pPr>
              <w:ind w:left="375"/>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1747" w:type="dxa"/>
            <w:gridSpan w:val="6"/>
            <w:vAlign w:val="center"/>
          </w:tcPr>
          <w:p>
            <w:pPr>
              <w:ind w:left="432"/>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管理负责人</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1747" w:type="dxa"/>
            <w:gridSpan w:val="6"/>
            <w:vAlign w:val="center"/>
          </w:tcPr>
          <w:p>
            <w:pPr>
              <w:ind w:left="432"/>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1747" w:type="dxa"/>
            <w:gridSpan w:val="6"/>
            <w:vAlign w:val="center"/>
          </w:tcPr>
          <w:p>
            <w:pPr>
              <w:ind w:left="432"/>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质量(总)检验员</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1747" w:type="dxa"/>
            <w:gridSpan w:val="6"/>
            <w:vAlign w:val="center"/>
          </w:tcPr>
          <w:p>
            <w:pPr>
              <w:ind w:left="432"/>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质量(总)检验员</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1747" w:type="dxa"/>
            <w:gridSpan w:val="6"/>
            <w:vAlign w:val="center"/>
          </w:tcPr>
          <w:p>
            <w:pPr>
              <w:ind w:left="432"/>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2070"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质量(总)检验员</w:t>
            </w:r>
          </w:p>
        </w:tc>
        <w:tc>
          <w:tcPr>
            <w:tcW w:w="1419" w:type="dxa"/>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手机</w:t>
            </w:r>
          </w:p>
        </w:tc>
        <w:tc>
          <w:tcPr>
            <w:tcW w:w="1747" w:type="dxa"/>
            <w:gridSpan w:val="6"/>
            <w:vAlign w:val="center"/>
          </w:tcPr>
          <w:p>
            <w:pPr>
              <w:ind w:left="432"/>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3489" w:type="dxa"/>
            <w:gridSpan w:val="3"/>
            <w:vMerge w:val="restart"/>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人员配备情况(人)</w:t>
            </w: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在职总人数</w:t>
            </w:r>
          </w:p>
        </w:tc>
        <w:tc>
          <w:tcPr>
            <w:tcW w:w="1464"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管理人员</w:t>
            </w: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技术工人</w:t>
            </w:r>
          </w:p>
        </w:tc>
        <w:tc>
          <w:tcPr>
            <w:tcW w:w="1747" w:type="dxa"/>
            <w:gridSpan w:val="6"/>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其 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3489" w:type="dxa"/>
            <w:gridSpan w:val="3"/>
            <w:vMerge w:val="continue"/>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1747" w:type="dxa"/>
            <w:gridSpan w:val="6"/>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776" w:type="dxa"/>
            <w:vMerge w:val="restart"/>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管理人员数量(人)</w:t>
            </w:r>
          </w:p>
        </w:tc>
        <w:tc>
          <w:tcPr>
            <w:tcW w:w="2713" w:type="dxa"/>
            <w:gridSpan w:val="2"/>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高级工程师</w:t>
            </w:r>
          </w:p>
        </w:tc>
        <w:tc>
          <w:tcPr>
            <w:tcW w:w="1464"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工程师</w:t>
            </w: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助理工程师</w:t>
            </w:r>
          </w:p>
        </w:tc>
        <w:tc>
          <w:tcPr>
            <w:tcW w:w="883" w:type="dxa"/>
            <w:gridSpan w:val="5"/>
            <w:tcBorders>
              <w:right w:val="single" w:color="auto" w:sz="4" w:space="0"/>
            </w:tcBorders>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技术员</w:t>
            </w:r>
          </w:p>
        </w:tc>
        <w:tc>
          <w:tcPr>
            <w:tcW w:w="864" w:type="dxa"/>
            <w:tcBorders>
              <w:left w:val="single" w:color="auto" w:sz="4" w:space="0"/>
            </w:tcBorders>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管理负责人</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检验人员</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业务人员</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价格核算人员</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合   计</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jc w:val="center"/>
        </w:trPr>
        <w:tc>
          <w:tcPr>
            <w:tcW w:w="776" w:type="dxa"/>
            <w:vMerge w:val="restart"/>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技术工人数量(人)</w:t>
            </w:r>
          </w:p>
        </w:tc>
        <w:tc>
          <w:tcPr>
            <w:tcW w:w="2713" w:type="dxa"/>
            <w:gridSpan w:val="2"/>
            <w:vAlign w:val="center"/>
          </w:tcPr>
          <w:p>
            <w:pPr>
              <w:rPr>
                <w:rFonts w:ascii="宋体" w:hAnsi="宋体" w:eastAsia="宋体" w:cs="宋体"/>
                <w:color w:val="auto"/>
                <w:sz w:val="24"/>
                <w:highlight w:val="none"/>
              </w:rPr>
            </w:pPr>
          </w:p>
        </w:tc>
        <w:tc>
          <w:tcPr>
            <w:tcW w:w="1401" w:type="dxa"/>
            <w:gridSpan w:val="3"/>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技师</w:t>
            </w:r>
          </w:p>
        </w:tc>
        <w:tc>
          <w:tcPr>
            <w:tcW w:w="1464"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高级工</w:t>
            </w:r>
          </w:p>
        </w:tc>
        <w:tc>
          <w:tcPr>
            <w:tcW w:w="1319" w:type="dxa"/>
            <w:gridSpan w:val="4"/>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中级工</w:t>
            </w:r>
          </w:p>
        </w:tc>
        <w:tc>
          <w:tcPr>
            <w:tcW w:w="883" w:type="dxa"/>
            <w:gridSpan w:val="5"/>
            <w:tcBorders>
              <w:right w:val="single" w:color="auto" w:sz="4" w:space="0"/>
            </w:tcBorders>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初级工</w:t>
            </w:r>
          </w:p>
        </w:tc>
        <w:tc>
          <w:tcPr>
            <w:tcW w:w="864" w:type="dxa"/>
            <w:tcBorders>
              <w:left w:val="single" w:color="auto" w:sz="4" w:space="0"/>
            </w:tcBorders>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机修工</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电器工</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钣金工</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tcBorders>
              <w:top w:val="single" w:color="auto" w:sz="4" w:space="0"/>
            </w:tcBorders>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油漆工</w:t>
            </w:r>
          </w:p>
        </w:tc>
        <w:tc>
          <w:tcPr>
            <w:tcW w:w="1401" w:type="dxa"/>
            <w:gridSpan w:val="3"/>
            <w:tcBorders>
              <w:top w:val="single" w:color="auto" w:sz="4" w:space="0"/>
            </w:tcBorders>
            <w:vAlign w:val="center"/>
          </w:tcPr>
          <w:p>
            <w:pPr>
              <w:rPr>
                <w:rFonts w:ascii="宋体" w:hAnsi="宋体" w:eastAsia="宋体" w:cs="宋体"/>
                <w:color w:val="auto"/>
                <w:sz w:val="24"/>
                <w:highlight w:val="none"/>
              </w:rPr>
            </w:pPr>
          </w:p>
        </w:tc>
        <w:tc>
          <w:tcPr>
            <w:tcW w:w="1464" w:type="dxa"/>
            <w:gridSpan w:val="2"/>
            <w:tcBorders>
              <w:top w:val="single" w:color="auto" w:sz="4" w:space="0"/>
            </w:tcBorders>
            <w:vAlign w:val="center"/>
          </w:tcPr>
          <w:p>
            <w:pPr>
              <w:rPr>
                <w:rFonts w:ascii="宋体" w:hAnsi="宋体" w:eastAsia="宋体" w:cs="宋体"/>
                <w:color w:val="auto"/>
                <w:sz w:val="24"/>
                <w:highlight w:val="none"/>
              </w:rPr>
            </w:pPr>
          </w:p>
        </w:tc>
        <w:tc>
          <w:tcPr>
            <w:tcW w:w="1319" w:type="dxa"/>
            <w:gridSpan w:val="4"/>
            <w:tcBorders>
              <w:top w:val="single" w:color="auto" w:sz="4" w:space="0"/>
            </w:tcBorders>
            <w:vAlign w:val="center"/>
          </w:tcPr>
          <w:p>
            <w:pPr>
              <w:rPr>
                <w:rFonts w:ascii="宋体" w:hAnsi="宋体" w:eastAsia="宋体" w:cs="宋体"/>
                <w:color w:val="auto"/>
                <w:sz w:val="24"/>
                <w:highlight w:val="none"/>
              </w:rPr>
            </w:pPr>
          </w:p>
        </w:tc>
        <w:tc>
          <w:tcPr>
            <w:tcW w:w="883" w:type="dxa"/>
            <w:gridSpan w:val="5"/>
            <w:tcBorders>
              <w:top w:val="single" w:color="auto" w:sz="4" w:space="0"/>
              <w:right w:val="single" w:color="auto" w:sz="4" w:space="0"/>
            </w:tcBorders>
            <w:vAlign w:val="center"/>
          </w:tcPr>
          <w:p>
            <w:pPr>
              <w:rPr>
                <w:rFonts w:ascii="宋体" w:hAnsi="宋体" w:eastAsia="宋体" w:cs="宋体"/>
                <w:color w:val="auto"/>
                <w:sz w:val="24"/>
                <w:highlight w:val="none"/>
              </w:rPr>
            </w:pPr>
          </w:p>
        </w:tc>
        <w:tc>
          <w:tcPr>
            <w:tcW w:w="864" w:type="dxa"/>
            <w:tcBorders>
              <w:top w:val="single" w:color="auto" w:sz="4" w:space="0"/>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检测工</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其他维修工</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776" w:type="dxa"/>
            <w:vMerge w:val="continue"/>
            <w:vAlign w:val="center"/>
          </w:tcPr>
          <w:p>
            <w:pPr>
              <w:rPr>
                <w:rFonts w:ascii="宋体" w:hAnsi="宋体" w:eastAsia="宋体" w:cs="宋体"/>
                <w:color w:val="auto"/>
                <w:sz w:val="24"/>
                <w:highlight w:val="none"/>
              </w:rPr>
            </w:pPr>
          </w:p>
        </w:tc>
        <w:tc>
          <w:tcPr>
            <w:tcW w:w="2713" w:type="dxa"/>
            <w:gridSpan w:val="2"/>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合   计</w:t>
            </w:r>
          </w:p>
        </w:tc>
        <w:tc>
          <w:tcPr>
            <w:tcW w:w="1401" w:type="dxa"/>
            <w:gridSpan w:val="3"/>
            <w:vAlign w:val="center"/>
          </w:tcPr>
          <w:p>
            <w:pPr>
              <w:rPr>
                <w:rFonts w:ascii="宋体" w:hAnsi="宋体" w:eastAsia="宋体" w:cs="宋体"/>
                <w:color w:val="auto"/>
                <w:sz w:val="24"/>
                <w:highlight w:val="none"/>
              </w:rPr>
            </w:pPr>
          </w:p>
        </w:tc>
        <w:tc>
          <w:tcPr>
            <w:tcW w:w="1464" w:type="dxa"/>
            <w:gridSpan w:val="2"/>
            <w:vAlign w:val="center"/>
          </w:tcPr>
          <w:p>
            <w:pPr>
              <w:rPr>
                <w:rFonts w:ascii="宋体" w:hAnsi="宋体" w:eastAsia="宋体" w:cs="宋体"/>
                <w:color w:val="auto"/>
                <w:sz w:val="24"/>
                <w:highlight w:val="none"/>
              </w:rPr>
            </w:pPr>
          </w:p>
        </w:tc>
        <w:tc>
          <w:tcPr>
            <w:tcW w:w="1319" w:type="dxa"/>
            <w:gridSpan w:val="4"/>
            <w:vAlign w:val="center"/>
          </w:tcPr>
          <w:p>
            <w:pPr>
              <w:rPr>
                <w:rFonts w:ascii="宋体" w:hAnsi="宋体" w:eastAsia="宋体" w:cs="宋体"/>
                <w:color w:val="auto"/>
                <w:sz w:val="24"/>
                <w:highlight w:val="none"/>
              </w:rPr>
            </w:pPr>
          </w:p>
        </w:tc>
        <w:tc>
          <w:tcPr>
            <w:tcW w:w="883" w:type="dxa"/>
            <w:gridSpan w:val="5"/>
            <w:tcBorders>
              <w:right w:val="single" w:color="auto" w:sz="4" w:space="0"/>
            </w:tcBorders>
            <w:vAlign w:val="center"/>
          </w:tcPr>
          <w:p>
            <w:pPr>
              <w:rPr>
                <w:rFonts w:ascii="宋体" w:hAnsi="宋体" w:eastAsia="宋体" w:cs="宋体"/>
                <w:color w:val="auto"/>
                <w:sz w:val="24"/>
                <w:highlight w:val="none"/>
              </w:rPr>
            </w:pPr>
          </w:p>
        </w:tc>
        <w:tc>
          <w:tcPr>
            <w:tcW w:w="864" w:type="dxa"/>
            <w:tcBorders>
              <w:left w:val="single" w:color="auto" w:sz="4" w:space="0"/>
            </w:tcBorders>
            <w:vAlign w:val="center"/>
          </w:tcPr>
          <w:p>
            <w:pPr>
              <w:rPr>
                <w:rFonts w:ascii="宋体" w:hAnsi="宋体" w:eastAsia="宋体" w:cs="宋体"/>
                <w:color w:val="auto"/>
                <w:sz w:val="24"/>
                <w:highlight w:val="none"/>
              </w:rPr>
            </w:pPr>
          </w:p>
        </w:tc>
      </w:tr>
    </w:tbl>
    <w:p>
      <w:pPr>
        <w:rPr>
          <w:rFonts w:ascii="宋体" w:hAnsi="宋体" w:eastAsia="宋体" w:cs="宋体"/>
          <w:b/>
          <w:color w:val="auto"/>
          <w:sz w:val="32"/>
          <w:highlight w:val="none"/>
        </w:rPr>
      </w:pPr>
    </w:p>
    <w:p>
      <w:pPr>
        <w:rPr>
          <w:rFonts w:ascii="黑体" w:hAnsi="宋体" w:eastAsia="黑体"/>
          <w:color w:val="auto"/>
          <w:sz w:val="24"/>
          <w:highlight w:val="none"/>
        </w:rPr>
      </w:pPr>
      <w:r>
        <w:rPr>
          <w:rFonts w:hint="eastAsia" w:ascii="黑体" w:hAnsi="宋体" w:eastAsia="黑体"/>
          <w:color w:val="auto"/>
          <w:sz w:val="24"/>
          <w:highlight w:val="none"/>
        </w:rPr>
        <w:t>注：供应商所填写的内容必须真实、可靠，如有虚假或隐瞒，一经查实将导致其投标被拒绝或取消中标资格。（本表后附所有企业、企业人员材料复印件）</w:t>
      </w:r>
    </w:p>
    <w:p>
      <w:pPr>
        <w:rPr>
          <w:rFonts w:ascii="黑体" w:hAnsi="宋体" w:eastAsia="黑体"/>
          <w:color w:val="auto"/>
          <w:highlight w:val="none"/>
        </w:rPr>
      </w:pPr>
    </w:p>
    <w:p>
      <w:pPr>
        <w:rPr>
          <w:rFonts w:ascii="黑体" w:hAnsi="宋体" w:eastAsia="黑体"/>
          <w:color w:val="auto"/>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供应商名称：（加盖公章）</w:t>
      </w:r>
    </w:p>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法定代表人（负责人）或其授权代表：（签字或印章）</w:t>
      </w:r>
    </w:p>
    <w:p>
      <w:pPr>
        <w:rPr>
          <w:rFonts w:ascii="宋体" w:hAnsi="宋体" w:eastAsia="宋体" w:cs="宋体"/>
          <w:color w:val="auto"/>
          <w:sz w:val="24"/>
          <w:highlight w:val="none"/>
        </w:rPr>
      </w:pPr>
    </w:p>
    <w:p>
      <w:pPr>
        <w:rPr>
          <w:rFonts w:ascii="黑体" w:hAnsi="宋体" w:eastAsia="黑体"/>
          <w:color w:val="auto"/>
          <w:highlight w:val="none"/>
        </w:rPr>
      </w:pPr>
      <w:r>
        <w:rPr>
          <w:rFonts w:hint="eastAsia" w:ascii="宋体" w:hAnsi="宋体" w:eastAsia="宋体" w:cs="宋体"/>
          <w:color w:val="auto"/>
          <w:sz w:val="24"/>
          <w:highlight w:val="none"/>
        </w:rPr>
        <w:t>日  期：    年  月  日</w:t>
      </w:r>
    </w:p>
    <w:p>
      <w:pPr>
        <w:pStyle w:val="4"/>
        <w:tabs>
          <w:tab w:val="left" w:pos="382"/>
        </w:tabs>
        <w:spacing w:line="480" w:lineRule="auto"/>
        <w:ind w:left="0" w:leftChars="0" w:hanging="14" w:firstLineChars="0"/>
        <w:rPr>
          <w:rFonts w:ascii="宋体" w:hAnsi="宋体" w:cs="宋体"/>
          <w:color w:val="auto"/>
          <w:sz w:val="24"/>
          <w:highlight w:val="none"/>
          <w:lang w:val="zh-CN"/>
        </w:rPr>
      </w:pPr>
    </w:p>
    <w:p>
      <w:pPr>
        <w:pStyle w:val="4"/>
        <w:tabs>
          <w:tab w:val="left" w:pos="382"/>
        </w:tabs>
        <w:spacing w:line="360" w:lineRule="auto"/>
        <w:ind w:left="0" w:leftChars="0" w:firstLine="0" w:firstLineChars="0"/>
        <w:rPr>
          <w:rFonts w:ascii="宋体" w:hAnsi="宋体" w:cs="宋体"/>
          <w:color w:val="auto"/>
          <w:sz w:val="24"/>
          <w:highlight w:val="none"/>
        </w:rPr>
      </w:pPr>
    </w:p>
    <w:p>
      <w:pPr>
        <w:pStyle w:val="8"/>
        <w:pageBreakBefore/>
        <w:spacing w:line="360" w:lineRule="auto"/>
        <w:outlineLvl w:val="1"/>
        <w:rPr>
          <w:rFonts w:cs="宋体"/>
          <w:color w:val="auto"/>
          <w:sz w:val="30"/>
          <w:szCs w:val="30"/>
          <w:highlight w:val="none"/>
          <w:lang w:val="zh-CN"/>
        </w:rPr>
      </w:pPr>
      <w:r>
        <w:rPr>
          <w:rFonts w:hint="eastAsia" w:cs="宋体"/>
          <w:b/>
          <w:bCs/>
          <w:color w:val="auto"/>
          <w:sz w:val="32"/>
          <w:szCs w:val="32"/>
          <w:highlight w:val="none"/>
        </w:rPr>
        <w:t>附件五：</w:t>
      </w:r>
    </w:p>
    <w:p>
      <w:pPr>
        <w:keepNext/>
        <w:keepLines/>
        <w:autoSpaceDE w:val="0"/>
        <w:autoSpaceDN w:val="0"/>
        <w:spacing w:before="120" w:after="120" w:line="300" w:lineRule="auto"/>
        <w:jc w:val="center"/>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项目从业人员以及其技术资格一览表</w:t>
      </w:r>
    </w:p>
    <w:p>
      <w:pPr>
        <w:keepNext/>
        <w:keepLines/>
        <w:autoSpaceDE w:val="0"/>
        <w:autoSpaceDN w:val="0"/>
        <w:spacing w:before="120" w:after="120" w:line="300" w:lineRule="auto"/>
        <w:ind w:firstLine="630"/>
        <w:jc w:val="center"/>
        <w:rPr>
          <w:rFonts w:ascii="宋体" w:hAnsi="宋体" w:cs="宋体"/>
          <w:color w:val="auto"/>
          <w:sz w:val="28"/>
          <w:highlight w:val="none"/>
          <w:lang w:val="zh-CN"/>
        </w:rPr>
      </w:pPr>
    </w:p>
    <w:p>
      <w:pPr>
        <w:autoSpaceDE w:val="0"/>
        <w:autoSpaceDN w:val="0"/>
        <w:spacing w:after="240"/>
        <w:ind w:firstLine="120" w:firstLineChars="50"/>
        <w:rPr>
          <w:rFonts w:ascii="宋体" w:hAnsi="宋体" w:cs="宋体"/>
          <w:color w:val="auto"/>
          <w:sz w:val="24"/>
          <w:highlight w:val="none"/>
          <w:lang w:val="zh-CN"/>
        </w:rPr>
      </w:pPr>
      <w:r>
        <w:rPr>
          <w:rFonts w:hint="eastAsia" w:ascii="宋体" w:hAnsi="宋体" w:cs="宋体"/>
          <w:color w:val="auto"/>
          <w:sz w:val="24"/>
          <w:highlight w:val="none"/>
          <w:lang w:val="zh-CN"/>
        </w:rPr>
        <w:t>项目名称：</w:t>
      </w:r>
      <w:r>
        <w:rPr>
          <w:rFonts w:hint="eastAsia" w:ascii="宋体" w:hAnsi="宋体" w:cs="宋体"/>
          <w:color w:val="auto"/>
          <w:sz w:val="24"/>
          <w:highlight w:val="none"/>
        </w:rPr>
        <w:t xml:space="preserve">         </w:t>
      </w:r>
    </w:p>
    <w:tbl>
      <w:tblPr>
        <w:tblStyle w:val="16"/>
        <w:tblW w:w="9730" w:type="dxa"/>
        <w:jc w:val="center"/>
        <w:tblLayout w:type="fixed"/>
        <w:tblCellMar>
          <w:top w:w="0" w:type="dxa"/>
          <w:left w:w="108" w:type="dxa"/>
          <w:bottom w:w="0" w:type="dxa"/>
          <w:right w:w="108" w:type="dxa"/>
        </w:tblCellMar>
      </w:tblPr>
      <w:tblGrid>
        <w:gridCol w:w="939"/>
        <w:gridCol w:w="1275"/>
        <w:gridCol w:w="1815"/>
        <w:gridCol w:w="1412"/>
        <w:gridCol w:w="1797"/>
        <w:gridCol w:w="1502"/>
        <w:gridCol w:w="990"/>
      </w:tblGrid>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姓  名</w:t>
            </w: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职务</w:t>
            </w:r>
          </w:p>
        </w:tc>
        <w:tc>
          <w:tcPr>
            <w:tcW w:w="18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专业技术资格</w:t>
            </w:r>
          </w:p>
        </w:tc>
        <w:tc>
          <w:tcPr>
            <w:tcW w:w="1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证书编号</w:t>
            </w:r>
          </w:p>
        </w:tc>
        <w:tc>
          <w:tcPr>
            <w:tcW w:w="17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劳动合同编号</w:t>
            </w:r>
          </w:p>
        </w:tc>
        <w:tc>
          <w:tcPr>
            <w:tcW w:w="15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参加本工作时间</w:t>
            </w:r>
          </w:p>
        </w:tc>
        <w:tc>
          <w:tcPr>
            <w:tcW w:w="9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93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8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4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79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0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9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bl>
    <w:p>
      <w:pPr>
        <w:autoSpaceDE w:val="0"/>
        <w:autoSpaceDN w:val="0"/>
        <w:spacing w:before="50" w:after="120" w:line="460" w:lineRule="exact"/>
        <w:jc w:val="left"/>
        <w:rPr>
          <w:rFonts w:ascii="宋体" w:hAnsi="宋体" w:cs="宋体"/>
          <w:color w:val="auto"/>
          <w:sz w:val="24"/>
          <w:highlight w:val="none"/>
          <w:lang w:val="zh-CN"/>
        </w:rPr>
      </w:pPr>
      <w:r>
        <w:rPr>
          <w:rFonts w:hint="eastAsia" w:ascii="宋体" w:hAnsi="宋体" w:cs="宋体"/>
          <w:color w:val="auto"/>
          <w:sz w:val="24"/>
          <w:highlight w:val="none"/>
          <w:lang w:val="zh-CN"/>
        </w:rPr>
        <w:t>注：在填写时，如本表格不适合供应商的实际情况，可根据本表格式自行制表填写。（本表后附所有企业、企业人员材料复印件）</w:t>
      </w:r>
    </w:p>
    <w:p>
      <w:pPr>
        <w:autoSpaceDE w:val="0"/>
        <w:autoSpaceDN w:val="0"/>
        <w:spacing w:line="480" w:lineRule="auto"/>
        <w:rPr>
          <w:rFonts w:ascii="宋体" w:hAnsi="宋体" w:cs="宋体"/>
          <w:color w:val="auto"/>
          <w:sz w:val="24"/>
          <w:highlight w:val="none"/>
          <w:lang w:val="zh-CN"/>
        </w:rPr>
      </w:pPr>
      <w:bookmarkStart w:id="94" w:name="OLE_LINK13"/>
      <w:r>
        <w:rPr>
          <w:rFonts w:hint="eastAsia" w:ascii="宋体" w:hAnsi="宋体" w:cs="宋体"/>
          <w:color w:val="auto"/>
          <w:sz w:val="24"/>
          <w:highlight w:val="none"/>
          <w:lang w:val="zh-CN"/>
        </w:rPr>
        <w:t>供应商名称（公章）：</w:t>
      </w:r>
    </w:p>
    <w:p>
      <w:pPr>
        <w:spacing w:line="480" w:lineRule="auto"/>
        <w:rPr>
          <w:rFonts w:ascii="宋体" w:hAnsi="宋体" w:cs="宋体"/>
          <w:color w:val="auto"/>
          <w:sz w:val="24"/>
          <w:highlight w:val="none"/>
          <w:lang w:val="zh-CN"/>
        </w:rPr>
      </w:pPr>
      <w:r>
        <w:rPr>
          <w:rFonts w:hint="eastAsia" w:ascii="宋体" w:hAnsi="宋体" w:eastAsia="宋体" w:cs="宋体"/>
          <w:color w:val="auto"/>
          <w:sz w:val="24"/>
          <w:highlight w:val="none"/>
        </w:rPr>
        <w:t>法定代表人（负责人）或其授权代表：（签字或印章）</w:t>
      </w:r>
    </w:p>
    <w:bookmarkEnd w:id="94"/>
    <w:p>
      <w:pPr>
        <w:autoSpaceDE w:val="0"/>
        <w:autoSpaceDN w:val="0"/>
        <w:spacing w:line="480" w:lineRule="auto"/>
        <w:rPr>
          <w:rFonts w:ascii="宋体" w:hAnsi="宋体" w:cs="宋体"/>
          <w:color w:val="auto"/>
          <w:sz w:val="32"/>
          <w:highlight w:val="none"/>
        </w:rPr>
      </w:pPr>
      <w:r>
        <w:rPr>
          <w:rFonts w:hint="eastAsia" w:ascii="宋体" w:hAnsi="宋体" w:cs="宋体"/>
          <w:color w:val="auto"/>
          <w:sz w:val="24"/>
          <w:highlight w:val="none"/>
          <w:lang w:val="zh-CN"/>
        </w:rPr>
        <w:t>日期：年 月日</w:t>
      </w:r>
    </w:p>
    <w:p>
      <w:pPr>
        <w:pStyle w:val="8"/>
        <w:pageBreakBefore/>
        <w:spacing w:line="360" w:lineRule="auto"/>
        <w:outlineLvl w:val="1"/>
        <w:rPr>
          <w:rFonts w:cs="宋体"/>
          <w:b/>
          <w:color w:val="auto"/>
          <w:sz w:val="32"/>
          <w:highlight w:val="none"/>
        </w:rPr>
      </w:pPr>
      <w:bookmarkStart w:id="95" w:name="_Toc9314"/>
      <w:r>
        <w:rPr>
          <w:rFonts w:hint="eastAsia" w:cs="宋体"/>
          <w:b/>
          <w:bCs/>
          <w:color w:val="auto"/>
          <w:sz w:val="32"/>
          <w:szCs w:val="32"/>
          <w:highlight w:val="none"/>
        </w:rPr>
        <w:t>附件</w:t>
      </w:r>
      <w:bookmarkEnd w:id="95"/>
      <w:r>
        <w:rPr>
          <w:rFonts w:hint="eastAsia" w:cs="宋体"/>
          <w:b/>
          <w:bCs/>
          <w:color w:val="auto"/>
          <w:sz w:val="32"/>
          <w:szCs w:val="32"/>
          <w:highlight w:val="none"/>
        </w:rPr>
        <w:t>六：</w:t>
      </w:r>
    </w:p>
    <w:p>
      <w:pPr>
        <w:keepNext/>
        <w:keepLines/>
        <w:autoSpaceDE w:val="0"/>
        <w:autoSpaceDN w:val="0"/>
        <w:spacing w:before="120" w:after="120" w:line="300" w:lineRule="auto"/>
        <w:jc w:val="center"/>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提供服务所需设施、设备一览表</w:t>
      </w:r>
    </w:p>
    <w:p>
      <w:pPr>
        <w:keepNext/>
        <w:keepLines/>
        <w:autoSpaceDE w:val="0"/>
        <w:autoSpaceDN w:val="0"/>
        <w:spacing w:before="120" w:after="120" w:line="300" w:lineRule="auto"/>
        <w:ind w:firstLine="630"/>
        <w:jc w:val="center"/>
        <w:rPr>
          <w:rFonts w:ascii="宋体" w:hAnsi="宋体" w:cs="宋体"/>
          <w:color w:val="auto"/>
          <w:sz w:val="28"/>
          <w:highlight w:val="none"/>
          <w:lang w:val="zh-CN"/>
        </w:rPr>
      </w:pPr>
    </w:p>
    <w:tbl>
      <w:tblPr>
        <w:tblStyle w:val="16"/>
        <w:tblW w:w="9284" w:type="dxa"/>
        <w:jc w:val="center"/>
        <w:tblLayout w:type="fixed"/>
        <w:tblCellMar>
          <w:top w:w="0" w:type="dxa"/>
          <w:left w:w="108" w:type="dxa"/>
          <w:bottom w:w="0" w:type="dxa"/>
          <w:right w:w="108" w:type="dxa"/>
        </w:tblCellMar>
      </w:tblPr>
      <w:tblGrid>
        <w:gridCol w:w="1037"/>
        <w:gridCol w:w="2113"/>
        <w:gridCol w:w="1298"/>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序号</w:t>
            </w:r>
          </w:p>
        </w:tc>
        <w:tc>
          <w:tcPr>
            <w:tcW w:w="21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设施、设备名称</w:t>
            </w:r>
          </w:p>
        </w:tc>
        <w:tc>
          <w:tcPr>
            <w:tcW w:w="12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型号</w:t>
            </w: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产地</w:t>
            </w:r>
          </w:p>
        </w:tc>
        <w:tc>
          <w:tcPr>
            <w:tcW w:w="12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211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宋体" w:hAnsi="宋体" w:cs="宋体"/>
                <w:color w:val="auto"/>
                <w:sz w:val="24"/>
                <w:highlight w:val="none"/>
                <w:lang w:val="zh-CN"/>
              </w:rPr>
            </w:pPr>
          </w:p>
        </w:tc>
      </w:tr>
    </w:tbl>
    <w:p>
      <w:pPr>
        <w:autoSpaceDE w:val="0"/>
        <w:autoSpaceDN w:val="0"/>
        <w:spacing w:before="50" w:after="120" w:line="460" w:lineRule="exact"/>
        <w:jc w:val="left"/>
        <w:rPr>
          <w:rFonts w:ascii="宋体" w:hAnsi="宋体" w:cs="宋体"/>
          <w:color w:val="auto"/>
          <w:sz w:val="24"/>
          <w:highlight w:val="none"/>
          <w:lang w:val="zh-CN"/>
        </w:rPr>
      </w:pPr>
      <w:r>
        <w:rPr>
          <w:rFonts w:hint="eastAsia" w:ascii="宋体" w:hAnsi="宋体" w:cs="宋体"/>
          <w:color w:val="auto"/>
          <w:sz w:val="24"/>
          <w:highlight w:val="none"/>
          <w:lang w:val="zh-CN"/>
        </w:rPr>
        <w:t xml:space="preserve">注：在填写时，如本表格不适合供应商的实际情况，可根据本表格式自行制表填写。 </w:t>
      </w:r>
    </w:p>
    <w:p>
      <w:pPr>
        <w:autoSpaceDE w:val="0"/>
        <w:autoSpaceDN w:val="0"/>
        <w:spacing w:before="50" w:after="120" w:line="460" w:lineRule="exact"/>
        <w:jc w:val="left"/>
        <w:rPr>
          <w:rFonts w:ascii="宋体" w:hAnsi="宋体" w:cs="宋体"/>
          <w:color w:val="auto"/>
          <w:sz w:val="24"/>
          <w:highlight w:val="none"/>
          <w:lang w:val="zh-CN"/>
        </w:rPr>
      </w:pPr>
    </w:p>
    <w:p>
      <w:pPr>
        <w:autoSpaceDE w:val="0"/>
        <w:autoSpaceDN w:val="0"/>
        <w:spacing w:line="480" w:lineRule="auto"/>
        <w:rPr>
          <w:rFonts w:ascii="宋体" w:hAnsi="宋体" w:cs="宋体"/>
          <w:color w:val="auto"/>
          <w:sz w:val="24"/>
          <w:highlight w:val="none"/>
          <w:lang w:val="zh-CN"/>
        </w:rPr>
      </w:pPr>
      <w:r>
        <w:rPr>
          <w:rFonts w:hint="eastAsia" w:ascii="宋体" w:hAnsi="宋体" w:cs="宋体"/>
          <w:color w:val="auto"/>
          <w:sz w:val="24"/>
          <w:highlight w:val="none"/>
          <w:lang w:val="zh-CN"/>
        </w:rPr>
        <w:t>供应商名称（公章）：</w:t>
      </w:r>
    </w:p>
    <w:p>
      <w:pPr>
        <w:spacing w:line="480" w:lineRule="auto"/>
        <w:rPr>
          <w:rFonts w:ascii="宋体" w:hAnsi="宋体" w:cs="宋体"/>
          <w:color w:val="auto"/>
          <w:sz w:val="24"/>
          <w:highlight w:val="none"/>
          <w:lang w:val="zh-CN"/>
        </w:rPr>
      </w:pPr>
      <w:r>
        <w:rPr>
          <w:rFonts w:hint="eastAsia" w:ascii="宋体" w:hAnsi="宋体" w:eastAsia="宋体" w:cs="宋体"/>
          <w:color w:val="auto"/>
          <w:sz w:val="24"/>
          <w:highlight w:val="none"/>
        </w:rPr>
        <w:t>法定代表人（负责人）或其授权代表：（签字或印章）</w:t>
      </w:r>
    </w:p>
    <w:p>
      <w:pPr>
        <w:autoSpaceDE w:val="0"/>
        <w:autoSpaceDN w:val="0"/>
        <w:spacing w:before="50" w:after="120" w:line="460" w:lineRule="exact"/>
        <w:jc w:val="left"/>
        <w:rPr>
          <w:rFonts w:ascii="宋体" w:hAnsi="宋体" w:cs="宋体"/>
          <w:color w:val="auto"/>
          <w:sz w:val="24"/>
          <w:highlight w:val="none"/>
          <w:lang w:val="zh-CN"/>
        </w:rPr>
      </w:pPr>
    </w:p>
    <w:p>
      <w:pPr>
        <w:autoSpaceDE w:val="0"/>
        <w:autoSpaceDN w:val="0"/>
        <w:spacing w:before="50" w:after="120" w:line="460" w:lineRule="exact"/>
        <w:jc w:val="left"/>
        <w:rPr>
          <w:rFonts w:ascii="宋体" w:hAnsi="宋体" w:cs="宋体"/>
          <w:color w:val="auto"/>
          <w:sz w:val="24"/>
          <w:highlight w:val="none"/>
          <w:lang w:val="zh-CN"/>
        </w:rPr>
      </w:pPr>
    </w:p>
    <w:p>
      <w:pPr>
        <w:autoSpaceDE w:val="0"/>
        <w:autoSpaceDN w:val="0"/>
        <w:spacing w:line="360" w:lineRule="auto"/>
        <w:rPr>
          <w:rFonts w:ascii="宋体" w:hAnsi="宋体" w:cs="宋体"/>
          <w:color w:val="auto"/>
          <w:sz w:val="24"/>
          <w:highlight w:val="none"/>
          <w:lang w:val="zh-CN"/>
        </w:rPr>
      </w:pPr>
    </w:p>
    <w:p>
      <w:pPr>
        <w:pStyle w:val="6"/>
        <w:spacing w:before="0" w:after="0" w:line="360" w:lineRule="auto"/>
        <w:jc w:val="right"/>
        <w:rPr>
          <w:color w:val="auto"/>
          <w:highlight w:val="none"/>
          <w:lang w:val="zh-CN"/>
        </w:rPr>
      </w:pPr>
      <w:r>
        <w:rPr>
          <w:rFonts w:hint="eastAsia" w:ascii="宋体" w:hAnsi="宋体" w:eastAsia="宋体" w:cs="宋体"/>
          <w:color w:val="auto"/>
          <w:sz w:val="24"/>
          <w:highlight w:val="none"/>
        </w:rPr>
        <w:t>年   月   日</w:t>
      </w:r>
    </w:p>
    <w:bookmarkEnd w:id="93"/>
    <w:p>
      <w:pPr>
        <w:ind w:right="528"/>
        <w:rPr>
          <w:rFonts w:ascii="宋体" w:hAnsi="宋体"/>
          <w:b/>
          <w:color w:val="auto"/>
          <w:spacing w:val="-8"/>
          <w:sz w:val="36"/>
          <w:szCs w:val="36"/>
          <w:highlight w:val="none"/>
        </w:rPr>
      </w:pPr>
    </w:p>
    <w:p>
      <w:pPr>
        <w:ind w:right="528"/>
        <w:rPr>
          <w:rFonts w:ascii="宋体" w:hAnsi="宋体" w:eastAsia="宋体"/>
          <w:b/>
          <w:color w:val="auto"/>
          <w:spacing w:val="-8"/>
          <w:sz w:val="36"/>
          <w:szCs w:val="36"/>
          <w:highlight w:val="none"/>
        </w:rPr>
      </w:pPr>
    </w:p>
    <w:p>
      <w:pPr>
        <w:outlineLvl w:val="0"/>
        <w:rPr>
          <w:color w:val="auto"/>
          <w:highlight w:val="none"/>
        </w:rPr>
      </w:pPr>
      <w:r>
        <w:rPr>
          <w:color w:val="auto"/>
          <w:sz w:val="28"/>
          <w:highlight w:val="none"/>
        </w:rPr>
        <w:br w:type="page"/>
      </w:r>
      <w:r>
        <w:rPr>
          <w:rFonts w:hint="eastAsia"/>
          <w:b/>
          <w:color w:val="auto"/>
          <w:sz w:val="32"/>
          <w:szCs w:val="32"/>
          <w:highlight w:val="none"/>
        </w:rPr>
        <w:t xml:space="preserve"> 附件七：</w:t>
      </w:r>
    </w:p>
    <w:p>
      <w:pPr>
        <w:outlineLvl w:val="0"/>
        <w:rPr>
          <w:color w:val="auto"/>
          <w:highlight w:val="none"/>
        </w:rPr>
      </w:pPr>
    </w:p>
    <w:p>
      <w:pPr>
        <w:pStyle w:val="8"/>
        <w:spacing w:after="145" w:afterLines="50" w:line="400" w:lineRule="exact"/>
        <w:jc w:val="center"/>
        <w:rPr>
          <w:rFonts w:cs="宋体"/>
          <w:b/>
          <w:bCs/>
          <w:color w:val="auto"/>
          <w:sz w:val="32"/>
          <w:szCs w:val="32"/>
          <w:highlight w:val="none"/>
        </w:rPr>
      </w:pPr>
      <w:bookmarkStart w:id="96" w:name="_Toc27885"/>
      <w:bookmarkStart w:id="97" w:name="_Toc326066636"/>
      <w:bookmarkStart w:id="98" w:name="_Toc23543"/>
      <w:bookmarkStart w:id="99" w:name="_Toc320877710"/>
      <w:bookmarkStart w:id="100" w:name="_Toc321472146"/>
      <w:r>
        <w:rPr>
          <w:rFonts w:hint="eastAsia" w:cs="宋体"/>
          <w:b/>
          <w:bCs/>
          <w:color w:val="auto"/>
          <w:sz w:val="32"/>
          <w:szCs w:val="32"/>
          <w:highlight w:val="none"/>
        </w:rPr>
        <w:t>供应商近三年同类项目业绩一览表</w:t>
      </w:r>
      <w:bookmarkEnd w:id="96"/>
      <w:bookmarkEnd w:id="97"/>
      <w:bookmarkEnd w:id="98"/>
      <w:bookmarkEnd w:id="99"/>
      <w:bookmarkEnd w:id="100"/>
    </w:p>
    <w:p>
      <w:pPr>
        <w:pStyle w:val="8"/>
        <w:spacing w:after="145" w:afterLines="50" w:line="400" w:lineRule="exact"/>
        <w:jc w:val="center"/>
        <w:rPr>
          <w:rFonts w:cs="宋体"/>
          <w:b/>
          <w:bCs/>
          <w:color w:val="auto"/>
          <w:sz w:val="32"/>
          <w:szCs w:val="32"/>
          <w:highlight w:val="none"/>
        </w:rPr>
      </w:pPr>
      <w:r>
        <w:rPr>
          <w:rFonts w:hint="eastAsia" w:cs="宋体"/>
          <w:b/>
          <w:bCs/>
          <w:color w:val="auto"/>
          <w:sz w:val="32"/>
          <w:szCs w:val="32"/>
          <w:highlight w:val="none"/>
        </w:rPr>
        <w:t>（201</w:t>
      </w:r>
      <w:r>
        <w:rPr>
          <w:rFonts w:hint="eastAsia" w:cs="宋体"/>
          <w:b/>
          <w:bCs/>
          <w:color w:val="auto"/>
          <w:sz w:val="32"/>
          <w:szCs w:val="32"/>
          <w:highlight w:val="none"/>
          <w:lang w:val="en-US" w:eastAsia="zh-CN"/>
        </w:rPr>
        <w:t>6</w:t>
      </w:r>
      <w:r>
        <w:rPr>
          <w:rFonts w:hint="eastAsia" w:cs="宋体"/>
          <w:b/>
          <w:bCs/>
          <w:color w:val="auto"/>
          <w:sz w:val="32"/>
          <w:szCs w:val="32"/>
          <w:highlight w:val="none"/>
        </w:rPr>
        <w:t>年—至今）</w:t>
      </w:r>
    </w:p>
    <w:p>
      <w:pPr>
        <w:jc w:val="center"/>
        <w:outlineLvl w:val="0"/>
        <w:rPr>
          <w:color w:val="auto"/>
          <w:sz w:val="28"/>
          <w:szCs w:val="28"/>
          <w:highlight w:val="none"/>
        </w:rPr>
      </w:pP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供应商名称（盖章）：</w:t>
      </w: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cs="宋体"/>
          <w:color w:val="auto"/>
          <w:sz w:val="24"/>
          <w:highlight w:val="none"/>
        </w:rPr>
      </w:pP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法定代表人或授权代理人签字：</w:t>
      </w:r>
    </w:p>
    <w:p>
      <w:pPr>
        <w:jc w:val="center"/>
        <w:outlineLvl w:val="0"/>
        <w:rPr>
          <w:color w:val="auto"/>
          <w:sz w:val="32"/>
          <w:szCs w:val="32"/>
          <w:highlight w:val="none"/>
        </w:rPr>
      </w:pPr>
    </w:p>
    <w:tbl>
      <w:tblPr>
        <w:tblStyle w:val="16"/>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387"/>
        <w:gridCol w:w="1320"/>
        <w:gridCol w:w="1185"/>
        <w:gridCol w:w="825"/>
        <w:gridCol w:w="1200"/>
        <w:gridCol w:w="122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53"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387"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项目</w:t>
            </w:r>
          </w:p>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名称</w:t>
            </w:r>
          </w:p>
        </w:tc>
        <w:tc>
          <w:tcPr>
            <w:tcW w:w="1320"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车辆</w:t>
            </w:r>
          </w:p>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185"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合同</w:t>
            </w:r>
          </w:p>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金额</w:t>
            </w:r>
          </w:p>
        </w:tc>
        <w:tc>
          <w:tcPr>
            <w:tcW w:w="825"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时间</w:t>
            </w:r>
          </w:p>
        </w:tc>
        <w:tc>
          <w:tcPr>
            <w:tcW w:w="1200"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购买服务单位名称</w:t>
            </w:r>
          </w:p>
        </w:tc>
        <w:tc>
          <w:tcPr>
            <w:tcW w:w="1221"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联系人</w:t>
            </w:r>
          </w:p>
        </w:tc>
        <w:tc>
          <w:tcPr>
            <w:tcW w:w="1005" w:type="dxa"/>
            <w:vAlign w:val="center"/>
          </w:tcPr>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联 系</w:t>
            </w:r>
          </w:p>
          <w:p>
            <w:pPr>
              <w:pStyle w:val="5"/>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tcPr>
          <w:p>
            <w:pPr>
              <w:pStyle w:val="5"/>
              <w:spacing w:line="360" w:lineRule="auto"/>
              <w:rPr>
                <w:rFonts w:ascii="宋体" w:hAnsi="宋体" w:cs="宋体"/>
                <w:color w:val="auto"/>
                <w:highlight w:val="none"/>
              </w:rPr>
            </w:pPr>
          </w:p>
        </w:tc>
        <w:tc>
          <w:tcPr>
            <w:tcW w:w="1387" w:type="dxa"/>
          </w:tcPr>
          <w:p>
            <w:pPr>
              <w:pStyle w:val="5"/>
              <w:spacing w:line="360" w:lineRule="auto"/>
              <w:rPr>
                <w:rFonts w:ascii="宋体" w:hAnsi="宋体" w:cs="宋体"/>
                <w:color w:val="auto"/>
                <w:highlight w:val="none"/>
              </w:rPr>
            </w:pPr>
          </w:p>
        </w:tc>
        <w:tc>
          <w:tcPr>
            <w:tcW w:w="1320" w:type="dxa"/>
          </w:tcPr>
          <w:p>
            <w:pPr>
              <w:pStyle w:val="5"/>
              <w:spacing w:line="360" w:lineRule="auto"/>
              <w:rPr>
                <w:rFonts w:ascii="宋体" w:hAnsi="宋体" w:cs="宋体"/>
                <w:color w:val="auto"/>
                <w:highlight w:val="none"/>
              </w:rPr>
            </w:pPr>
          </w:p>
        </w:tc>
        <w:tc>
          <w:tcPr>
            <w:tcW w:w="1185" w:type="dxa"/>
          </w:tcPr>
          <w:p>
            <w:pPr>
              <w:pStyle w:val="5"/>
              <w:spacing w:line="360" w:lineRule="auto"/>
              <w:rPr>
                <w:rFonts w:ascii="宋体" w:hAnsi="宋体" w:cs="宋体"/>
                <w:color w:val="auto"/>
                <w:highlight w:val="none"/>
              </w:rPr>
            </w:pPr>
          </w:p>
        </w:tc>
        <w:tc>
          <w:tcPr>
            <w:tcW w:w="825" w:type="dxa"/>
          </w:tcPr>
          <w:p>
            <w:pPr>
              <w:pStyle w:val="5"/>
              <w:spacing w:line="360" w:lineRule="auto"/>
              <w:rPr>
                <w:rFonts w:ascii="宋体" w:hAnsi="宋体" w:cs="宋体"/>
                <w:color w:val="auto"/>
                <w:highlight w:val="none"/>
              </w:rPr>
            </w:pPr>
          </w:p>
        </w:tc>
        <w:tc>
          <w:tcPr>
            <w:tcW w:w="1200" w:type="dxa"/>
          </w:tcPr>
          <w:p>
            <w:pPr>
              <w:pStyle w:val="5"/>
              <w:spacing w:line="360" w:lineRule="auto"/>
              <w:rPr>
                <w:rFonts w:ascii="宋体" w:hAnsi="宋体" w:cs="宋体"/>
                <w:color w:val="auto"/>
                <w:highlight w:val="none"/>
              </w:rPr>
            </w:pPr>
          </w:p>
        </w:tc>
        <w:tc>
          <w:tcPr>
            <w:tcW w:w="1221" w:type="dxa"/>
          </w:tcPr>
          <w:p>
            <w:pPr>
              <w:pStyle w:val="5"/>
              <w:spacing w:line="360" w:lineRule="auto"/>
              <w:rPr>
                <w:rFonts w:ascii="宋体" w:hAnsi="宋体" w:cs="宋体"/>
                <w:color w:val="auto"/>
                <w:highlight w:val="none"/>
              </w:rPr>
            </w:pPr>
          </w:p>
        </w:tc>
        <w:tc>
          <w:tcPr>
            <w:tcW w:w="1005" w:type="dxa"/>
          </w:tcPr>
          <w:p>
            <w:pPr>
              <w:pStyle w:val="5"/>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tcPr>
          <w:p>
            <w:pPr>
              <w:pStyle w:val="5"/>
              <w:spacing w:line="360" w:lineRule="auto"/>
              <w:rPr>
                <w:rFonts w:ascii="宋体" w:hAnsi="宋体" w:cs="宋体"/>
                <w:color w:val="auto"/>
                <w:highlight w:val="none"/>
              </w:rPr>
            </w:pPr>
          </w:p>
        </w:tc>
        <w:tc>
          <w:tcPr>
            <w:tcW w:w="1387" w:type="dxa"/>
          </w:tcPr>
          <w:p>
            <w:pPr>
              <w:pStyle w:val="5"/>
              <w:spacing w:line="360" w:lineRule="auto"/>
              <w:rPr>
                <w:rFonts w:ascii="宋体" w:hAnsi="宋体" w:cs="宋体"/>
                <w:color w:val="auto"/>
                <w:highlight w:val="none"/>
              </w:rPr>
            </w:pPr>
          </w:p>
        </w:tc>
        <w:tc>
          <w:tcPr>
            <w:tcW w:w="1320" w:type="dxa"/>
          </w:tcPr>
          <w:p>
            <w:pPr>
              <w:pStyle w:val="5"/>
              <w:spacing w:line="360" w:lineRule="auto"/>
              <w:rPr>
                <w:rFonts w:ascii="宋体" w:hAnsi="宋体" w:cs="宋体"/>
                <w:color w:val="auto"/>
                <w:highlight w:val="none"/>
              </w:rPr>
            </w:pPr>
          </w:p>
        </w:tc>
        <w:tc>
          <w:tcPr>
            <w:tcW w:w="1185" w:type="dxa"/>
          </w:tcPr>
          <w:p>
            <w:pPr>
              <w:pStyle w:val="5"/>
              <w:spacing w:line="360" w:lineRule="auto"/>
              <w:rPr>
                <w:rFonts w:ascii="宋体" w:hAnsi="宋体" w:cs="宋体"/>
                <w:color w:val="auto"/>
                <w:highlight w:val="none"/>
              </w:rPr>
            </w:pPr>
          </w:p>
        </w:tc>
        <w:tc>
          <w:tcPr>
            <w:tcW w:w="825" w:type="dxa"/>
          </w:tcPr>
          <w:p>
            <w:pPr>
              <w:pStyle w:val="5"/>
              <w:spacing w:line="360" w:lineRule="auto"/>
              <w:rPr>
                <w:rFonts w:ascii="宋体" w:hAnsi="宋体" w:cs="宋体"/>
                <w:color w:val="auto"/>
                <w:highlight w:val="none"/>
              </w:rPr>
            </w:pPr>
          </w:p>
        </w:tc>
        <w:tc>
          <w:tcPr>
            <w:tcW w:w="1200" w:type="dxa"/>
          </w:tcPr>
          <w:p>
            <w:pPr>
              <w:pStyle w:val="5"/>
              <w:spacing w:line="360" w:lineRule="auto"/>
              <w:rPr>
                <w:rFonts w:ascii="宋体" w:hAnsi="宋体" w:cs="宋体"/>
                <w:color w:val="auto"/>
                <w:highlight w:val="none"/>
              </w:rPr>
            </w:pPr>
          </w:p>
        </w:tc>
        <w:tc>
          <w:tcPr>
            <w:tcW w:w="1221" w:type="dxa"/>
          </w:tcPr>
          <w:p>
            <w:pPr>
              <w:pStyle w:val="5"/>
              <w:spacing w:line="360" w:lineRule="auto"/>
              <w:rPr>
                <w:rFonts w:ascii="宋体" w:hAnsi="宋体" w:cs="宋体"/>
                <w:color w:val="auto"/>
                <w:highlight w:val="none"/>
              </w:rPr>
            </w:pPr>
          </w:p>
        </w:tc>
        <w:tc>
          <w:tcPr>
            <w:tcW w:w="1005" w:type="dxa"/>
          </w:tcPr>
          <w:p>
            <w:pPr>
              <w:pStyle w:val="5"/>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tcPr>
          <w:p>
            <w:pPr>
              <w:pStyle w:val="5"/>
              <w:spacing w:line="360" w:lineRule="auto"/>
              <w:rPr>
                <w:rFonts w:ascii="宋体" w:hAnsi="宋体" w:cs="宋体"/>
                <w:color w:val="auto"/>
                <w:highlight w:val="none"/>
              </w:rPr>
            </w:pPr>
          </w:p>
        </w:tc>
        <w:tc>
          <w:tcPr>
            <w:tcW w:w="1387" w:type="dxa"/>
          </w:tcPr>
          <w:p>
            <w:pPr>
              <w:pStyle w:val="5"/>
              <w:spacing w:line="360" w:lineRule="auto"/>
              <w:rPr>
                <w:rFonts w:ascii="宋体" w:hAnsi="宋体" w:cs="宋体"/>
                <w:color w:val="auto"/>
                <w:highlight w:val="none"/>
              </w:rPr>
            </w:pPr>
          </w:p>
        </w:tc>
        <w:tc>
          <w:tcPr>
            <w:tcW w:w="1320" w:type="dxa"/>
          </w:tcPr>
          <w:p>
            <w:pPr>
              <w:pStyle w:val="5"/>
              <w:spacing w:line="360" w:lineRule="auto"/>
              <w:rPr>
                <w:rFonts w:ascii="宋体" w:hAnsi="宋体" w:cs="宋体"/>
                <w:color w:val="auto"/>
                <w:highlight w:val="none"/>
              </w:rPr>
            </w:pPr>
          </w:p>
        </w:tc>
        <w:tc>
          <w:tcPr>
            <w:tcW w:w="1185" w:type="dxa"/>
          </w:tcPr>
          <w:p>
            <w:pPr>
              <w:pStyle w:val="5"/>
              <w:spacing w:line="360" w:lineRule="auto"/>
              <w:rPr>
                <w:rFonts w:ascii="宋体" w:hAnsi="宋体" w:cs="宋体"/>
                <w:color w:val="auto"/>
                <w:highlight w:val="none"/>
              </w:rPr>
            </w:pPr>
          </w:p>
        </w:tc>
        <w:tc>
          <w:tcPr>
            <w:tcW w:w="825" w:type="dxa"/>
          </w:tcPr>
          <w:p>
            <w:pPr>
              <w:pStyle w:val="5"/>
              <w:spacing w:line="360" w:lineRule="auto"/>
              <w:rPr>
                <w:rFonts w:ascii="宋体" w:hAnsi="宋体" w:cs="宋体"/>
                <w:color w:val="auto"/>
                <w:highlight w:val="none"/>
              </w:rPr>
            </w:pPr>
          </w:p>
        </w:tc>
        <w:tc>
          <w:tcPr>
            <w:tcW w:w="1200" w:type="dxa"/>
          </w:tcPr>
          <w:p>
            <w:pPr>
              <w:pStyle w:val="5"/>
              <w:spacing w:line="360" w:lineRule="auto"/>
              <w:rPr>
                <w:rFonts w:ascii="宋体" w:hAnsi="宋体" w:cs="宋体"/>
                <w:color w:val="auto"/>
                <w:highlight w:val="none"/>
              </w:rPr>
            </w:pPr>
          </w:p>
        </w:tc>
        <w:tc>
          <w:tcPr>
            <w:tcW w:w="1221" w:type="dxa"/>
          </w:tcPr>
          <w:p>
            <w:pPr>
              <w:pStyle w:val="5"/>
              <w:spacing w:line="360" w:lineRule="auto"/>
              <w:rPr>
                <w:rFonts w:ascii="宋体" w:hAnsi="宋体" w:cs="宋体"/>
                <w:color w:val="auto"/>
                <w:highlight w:val="none"/>
              </w:rPr>
            </w:pPr>
          </w:p>
        </w:tc>
        <w:tc>
          <w:tcPr>
            <w:tcW w:w="1005" w:type="dxa"/>
          </w:tcPr>
          <w:p>
            <w:pPr>
              <w:pStyle w:val="5"/>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tcPr>
          <w:p>
            <w:pPr>
              <w:pStyle w:val="5"/>
              <w:spacing w:line="360" w:lineRule="auto"/>
              <w:rPr>
                <w:rFonts w:ascii="宋体" w:hAnsi="宋体" w:cs="宋体"/>
                <w:color w:val="auto"/>
                <w:highlight w:val="none"/>
              </w:rPr>
            </w:pPr>
          </w:p>
        </w:tc>
        <w:tc>
          <w:tcPr>
            <w:tcW w:w="1387" w:type="dxa"/>
          </w:tcPr>
          <w:p>
            <w:pPr>
              <w:pStyle w:val="5"/>
              <w:spacing w:line="360" w:lineRule="auto"/>
              <w:rPr>
                <w:rFonts w:ascii="宋体" w:hAnsi="宋体" w:cs="宋体"/>
                <w:color w:val="auto"/>
                <w:highlight w:val="none"/>
              </w:rPr>
            </w:pPr>
          </w:p>
        </w:tc>
        <w:tc>
          <w:tcPr>
            <w:tcW w:w="1320" w:type="dxa"/>
          </w:tcPr>
          <w:p>
            <w:pPr>
              <w:pStyle w:val="5"/>
              <w:spacing w:line="360" w:lineRule="auto"/>
              <w:rPr>
                <w:rFonts w:ascii="宋体" w:hAnsi="宋体" w:cs="宋体"/>
                <w:color w:val="auto"/>
                <w:highlight w:val="none"/>
              </w:rPr>
            </w:pPr>
          </w:p>
        </w:tc>
        <w:tc>
          <w:tcPr>
            <w:tcW w:w="1185" w:type="dxa"/>
          </w:tcPr>
          <w:p>
            <w:pPr>
              <w:pStyle w:val="5"/>
              <w:spacing w:line="360" w:lineRule="auto"/>
              <w:rPr>
                <w:rFonts w:ascii="宋体" w:hAnsi="宋体" w:cs="宋体"/>
                <w:color w:val="auto"/>
                <w:highlight w:val="none"/>
              </w:rPr>
            </w:pPr>
          </w:p>
        </w:tc>
        <w:tc>
          <w:tcPr>
            <w:tcW w:w="825" w:type="dxa"/>
          </w:tcPr>
          <w:p>
            <w:pPr>
              <w:pStyle w:val="5"/>
              <w:spacing w:line="360" w:lineRule="auto"/>
              <w:rPr>
                <w:rFonts w:ascii="宋体" w:hAnsi="宋体" w:cs="宋体"/>
                <w:color w:val="auto"/>
                <w:highlight w:val="none"/>
              </w:rPr>
            </w:pPr>
          </w:p>
        </w:tc>
        <w:tc>
          <w:tcPr>
            <w:tcW w:w="1200" w:type="dxa"/>
          </w:tcPr>
          <w:p>
            <w:pPr>
              <w:pStyle w:val="5"/>
              <w:spacing w:line="360" w:lineRule="auto"/>
              <w:rPr>
                <w:rFonts w:ascii="宋体" w:hAnsi="宋体" w:cs="宋体"/>
                <w:color w:val="auto"/>
                <w:highlight w:val="none"/>
              </w:rPr>
            </w:pPr>
          </w:p>
        </w:tc>
        <w:tc>
          <w:tcPr>
            <w:tcW w:w="1221" w:type="dxa"/>
          </w:tcPr>
          <w:p>
            <w:pPr>
              <w:pStyle w:val="5"/>
              <w:spacing w:line="360" w:lineRule="auto"/>
              <w:rPr>
                <w:rFonts w:ascii="宋体" w:hAnsi="宋体" w:cs="宋体"/>
                <w:color w:val="auto"/>
                <w:highlight w:val="none"/>
              </w:rPr>
            </w:pPr>
          </w:p>
        </w:tc>
        <w:tc>
          <w:tcPr>
            <w:tcW w:w="1005" w:type="dxa"/>
          </w:tcPr>
          <w:p>
            <w:pPr>
              <w:pStyle w:val="5"/>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tcPr>
          <w:p>
            <w:pPr>
              <w:pStyle w:val="5"/>
              <w:spacing w:line="360" w:lineRule="auto"/>
              <w:rPr>
                <w:rFonts w:ascii="宋体" w:hAnsi="宋体" w:cs="宋体"/>
                <w:color w:val="auto"/>
                <w:highlight w:val="none"/>
              </w:rPr>
            </w:pPr>
          </w:p>
        </w:tc>
        <w:tc>
          <w:tcPr>
            <w:tcW w:w="1387" w:type="dxa"/>
          </w:tcPr>
          <w:p>
            <w:pPr>
              <w:pStyle w:val="5"/>
              <w:spacing w:line="360" w:lineRule="auto"/>
              <w:rPr>
                <w:rFonts w:ascii="宋体" w:hAnsi="宋体" w:cs="宋体"/>
                <w:color w:val="auto"/>
                <w:highlight w:val="none"/>
              </w:rPr>
            </w:pPr>
          </w:p>
        </w:tc>
        <w:tc>
          <w:tcPr>
            <w:tcW w:w="1320" w:type="dxa"/>
          </w:tcPr>
          <w:p>
            <w:pPr>
              <w:pStyle w:val="5"/>
              <w:spacing w:line="360" w:lineRule="auto"/>
              <w:rPr>
                <w:rFonts w:ascii="宋体" w:hAnsi="宋体" w:cs="宋体"/>
                <w:color w:val="auto"/>
                <w:highlight w:val="none"/>
              </w:rPr>
            </w:pPr>
          </w:p>
        </w:tc>
        <w:tc>
          <w:tcPr>
            <w:tcW w:w="1185" w:type="dxa"/>
          </w:tcPr>
          <w:p>
            <w:pPr>
              <w:pStyle w:val="5"/>
              <w:spacing w:line="360" w:lineRule="auto"/>
              <w:rPr>
                <w:rFonts w:ascii="宋体" w:hAnsi="宋体" w:cs="宋体"/>
                <w:color w:val="auto"/>
                <w:highlight w:val="none"/>
              </w:rPr>
            </w:pPr>
          </w:p>
        </w:tc>
        <w:tc>
          <w:tcPr>
            <w:tcW w:w="825" w:type="dxa"/>
          </w:tcPr>
          <w:p>
            <w:pPr>
              <w:pStyle w:val="5"/>
              <w:spacing w:line="360" w:lineRule="auto"/>
              <w:rPr>
                <w:rFonts w:ascii="宋体" w:hAnsi="宋体" w:cs="宋体"/>
                <w:color w:val="auto"/>
                <w:highlight w:val="none"/>
              </w:rPr>
            </w:pPr>
          </w:p>
        </w:tc>
        <w:tc>
          <w:tcPr>
            <w:tcW w:w="1200" w:type="dxa"/>
          </w:tcPr>
          <w:p>
            <w:pPr>
              <w:pStyle w:val="5"/>
              <w:spacing w:line="360" w:lineRule="auto"/>
              <w:rPr>
                <w:rFonts w:ascii="宋体" w:hAnsi="宋体" w:cs="宋体"/>
                <w:color w:val="auto"/>
                <w:highlight w:val="none"/>
              </w:rPr>
            </w:pPr>
          </w:p>
        </w:tc>
        <w:tc>
          <w:tcPr>
            <w:tcW w:w="1221" w:type="dxa"/>
          </w:tcPr>
          <w:p>
            <w:pPr>
              <w:pStyle w:val="5"/>
              <w:spacing w:line="360" w:lineRule="auto"/>
              <w:rPr>
                <w:rFonts w:ascii="宋体" w:hAnsi="宋体" w:cs="宋体"/>
                <w:color w:val="auto"/>
                <w:highlight w:val="none"/>
              </w:rPr>
            </w:pPr>
          </w:p>
        </w:tc>
        <w:tc>
          <w:tcPr>
            <w:tcW w:w="1005" w:type="dxa"/>
          </w:tcPr>
          <w:p>
            <w:pPr>
              <w:pStyle w:val="5"/>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tcPr>
          <w:p>
            <w:pPr>
              <w:pStyle w:val="5"/>
              <w:spacing w:line="360" w:lineRule="auto"/>
              <w:rPr>
                <w:rFonts w:ascii="宋体" w:hAnsi="宋体" w:cs="宋体"/>
                <w:color w:val="auto"/>
                <w:highlight w:val="none"/>
              </w:rPr>
            </w:pPr>
          </w:p>
        </w:tc>
        <w:tc>
          <w:tcPr>
            <w:tcW w:w="1387" w:type="dxa"/>
          </w:tcPr>
          <w:p>
            <w:pPr>
              <w:pStyle w:val="5"/>
              <w:spacing w:line="360" w:lineRule="auto"/>
              <w:rPr>
                <w:rFonts w:ascii="宋体" w:hAnsi="宋体" w:cs="宋体"/>
                <w:color w:val="auto"/>
                <w:highlight w:val="none"/>
              </w:rPr>
            </w:pPr>
          </w:p>
        </w:tc>
        <w:tc>
          <w:tcPr>
            <w:tcW w:w="1320" w:type="dxa"/>
          </w:tcPr>
          <w:p>
            <w:pPr>
              <w:pStyle w:val="5"/>
              <w:spacing w:line="360" w:lineRule="auto"/>
              <w:rPr>
                <w:rFonts w:ascii="宋体" w:hAnsi="宋体" w:cs="宋体"/>
                <w:color w:val="auto"/>
                <w:highlight w:val="none"/>
              </w:rPr>
            </w:pPr>
          </w:p>
        </w:tc>
        <w:tc>
          <w:tcPr>
            <w:tcW w:w="1185" w:type="dxa"/>
          </w:tcPr>
          <w:p>
            <w:pPr>
              <w:pStyle w:val="5"/>
              <w:spacing w:line="360" w:lineRule="auto"/>
              <w:rPr>
                <w:rFonts w:ascii="宋体" w:hAnsi="宋体" w:cs="宋体"/>
                <w:color w:val="auto"/>
                <w:highlight w:val="none"/>
              </w:rPr>
            </w:pPr>
          </w:p>
        </w:tc>
        <w:tc>
          <w:tcPr>
            <w:tcW w:w="825" w:type="dxa"/>
          </w:tcPr>
          <w:p>
            <w:pPr>
              <w:pStyle w:val="5"/>
              <w:spacing w:line="360" w:lineRule="auto"/>
              <w:rPr>
                <w:rFonts w:ascii="宋体" w:hAnsi="宋体" w:cs="宋体"/>
                <w:color w:val="auto"/>
                <w:highlight w:val="none"/>
              </w:rPr>
            </w:pPr>
          </w:p>
        </w:tc>
        <w:tc>
          <w:tcPr>
            <w:tcW w:w="1200" w:type="dxa"/>
          </w:tcPr>
          <w:p>
            <w:pPr>
              <w:pStyle w:val="5"/>
              <w:spacing w:line="360" w:lineRule="auto"/>
              <w:rPr>
                <w:rFonts w:ascii="宋体" w:hAnsi="宋体" w:cs="宋体"/>
                <w:color w:val="auto"/>
                <w:highlight w:val="none"/>
              </w:rPr>
            </w:pPr>
          </w:p>
        </w:tc>
        <w:tc>
          <w:tcPr>
            <w:tcW w:w="1221" w:type="dxa"/>
          </w:tcPr>
          <w:p>
            <w:pPr>
              <w:pStyle w:val="5"/>
              <w:spacing w:line="360" w:lineRule="auto"/>
              <w:rPr>
                <w:rFonts w:ascii="宋体" w:hAnsi="宋体" w:cs="宋体"/>
                <w:color w:val="auto"/>
                <w:highlight w:val="none"/>
              </w:rPr>
            </w:pPr>
          </w:p>
        </w:tc>
        <w:tc>
          <w:tcPr>
            <w:tcW w:w="1005" w:type="dxa"/>
          </w:tcPr>
          <w:p>
            <w:pPr>
              <w:pStyle w:val="5"/>
              <w:spacing w:line="360" w:lineRule="auto"/>
              <w:rPr>
                <w:rFonts w:ascii="宋体" w:hAnsi="宋体" w:cs="宋体"/>
                <w:color w:val="auto"/>
                <w:highlight w:val="none"/>
              </w:rPr>
            </w:pPr>
          </w:p>
        </w:tc>
      </w:tr>
    </w:tbl>
    <w:p>
      <w:pPr>
        <w:tabs>
          <w:tab w:val="left" w:pos="0"/>
        </w:tabs>
        <w:spacing w:line="360" w:lineRule="auto"/>
        <w:rPr>
          <w:b/>
          <w:bCs/>
          <w:color w:val="auto"/>
          <w:highlight w:val="none"/>
        </w:rPr>
      </w:pPr>
    </w:p>
    <w:p>
      <w:pPr>
        <w:jc w:val="left"/>
        <w:outlineLvl w:val="0"/>
        <w:rPr>
          <w:b/>
          <w:bCs/>
          <w:color w:val="auto"/>
          <w:sz w:val="24"/>
          <w:highlight w:val="none"/>
        </w:rPr>
      </w:pPr>
      <w:r>
        <w:rPr>
          <w:rFonts w:hint="eastAsia"/>
          <w:b/>
          <w:bCs/>
          <w:color w:val="auto"/>
          <w:sz w:val="24"/>
          <w:highlight w:val="none"/>
        </w:rPr>
        <w:t>备注：本表后须附合同书复印件</w:t>
      </w:r>
    </w:p>
    <w:p>
      <w:pPr>
        <w:jc w:val="left"/>
        <w:outlineLvl w:val="0"/>
        <w:rPr>
          <w:b/>
          <w:bCs/>
          <w:color w:val="auto"/>
          <w:sz w:val="24"/>
          <w:highlight w:val="none"/>
        </w:rPr>
      </w:pPr>
    </w:p>
    <w:p>
      <w:pPr>
        <w:jc w:val="left"/>
        <w:outlineLvl w:val="0"/>
        <w:rPr>
          <w:color w:val="auto"/>
          <w:highlight w:val="none"/>
        </w:rPr>
      </w:pPr>
      <w:r>
        <w:rPr>
          <w:rFonts w:hint="eastAsia"/>
          <w:b/>
          <w:bCs/>
          <w:color w:val="auto"/>
          <w:sz w:val="24"/>
          <w:highlight w:val="none"/>
        </w:rPr>
        <w:t>年  月  日</w:t>
      </w:r>
      <w:r>
        <w:rPr>
          <w:color w:val="auto"/>
          <w:highlight w:val="none"/>
        </w:rPr>
        <w:br w:type="page"/>
      </w:r>
      <w:r>
        <w:rPr>
          <w:rFonts w:hint="eastAsia"/>
          <w:b/>
          <w:color w:val="auto"/>
          <w:sz w:val="32"/>
          <w:szCs w:val="32"/>
          <w:highlight w:val="none"/>
        </w:rPr>
        <w:t>附件八：</w:t>
      </w:r>
    </w:p>
    <w:p>
      <w:pPr>
        <w:pStyle w:val="8"/>
        <w:spacing w:after="145" w:afterLines="50" w:line="400" w:lineRule="exact"/>
        <w:jc w:val="center"/>
        <w:rPr>
          <w:rFonts w:cs="宋体"/>
          <w:b/>
          <w:bCs/>
          <w:color w:val="auto"/>
          <w:sz w:val="32"/>
          <w:szCs w:val="32"/>
          <w:highlight w:val="none"/>
          <w:lang w:val="zh-CN"/>
        </w:rPr>
      </w:pPr>
      <w:r>
        <w:rPr>
          <w:rFonts w:hint="eastAsia" w:cs="宋体"/>
          <w:b/>
          <w:bCs/>
          <w:color w:val="auto"/>
          <w:sz w:val="32"/>
          <w:szCs w:val="32"/>
          <w:highlight w:val="none"/>
          <w:lang w:val="zh-CN"/>
        </w:rPr>
        <w:t>售后服务承诺及方案</w:t>
      </w:r>
    </w:p>
    <w:p>
      <w:pPr>
        <w:autoSpaceDE w:val="0"/>
        <w:autoSpaceDN w:val="0"/>
        <w:ind w:firstLine="422"/>
        <w:jc w:val="center"/>
        <w:rPr>
          <w:rFonts w:ascii="宋体"/>
          <w:b/>
          <w:color w:val="auto"/>
          <w:sz w:val="28"/>
          <w:highlight w:val="none"/>
          <w:lang w:val="zh-CN"/>
        </w:rPr>
      </w:pPr>
    </w:p>
    <w:p>
      <w:pPr>
        <w:pStyle w:val="10"/>
        <w:spacing w:line="460" w:lineRule="exact"/>
        <w:ind w:firstLine="460"/>
        <w:rPr>
          <w:color w:val="auto"/>
          <w:sz w:val="24"/>
          <w:highlight w:val="none"/>
          <w:lang w:val="zh-CN"/>
        </w:rPr>
      </w:pPr>
      <w:r>
        <w:rPr>
          <w:rFonts w:hint="eastAsia"/>
          <w:color w:val="auto"/>
          <w:sz w:val="24"/>
          <w:highlight w:val="none"/>
          <w:lang w:val="zh-CN"/>
        </w:rPr>
        <w:t>一、售后服务期限和服务承诺</w:t>
      </w:r>
    </w:p>
    <w:p>
      <w:pPr>
        <w:pStyle w:val="10"/>
        <w:spacing w:line="460" w:lineRule="exact"/>
        <w:ind w:firstLine="460"/>
        <w:rPr>
          <w:color w:val="auto"/>
          <w:sz w:val="24"/>
          <w:highlight w:val="none"/>
          <w:lang w:val="zh-CN"/>
        </w:rPr>
      </w:pPr>
      <w:r>
        <w:rPr>
          <w:rFonts w:hint="eastAsia"/>
          <w:color w:val="auto"/>
          <w:sz w:val="24"/>
          <w:highlight w:val="none"/>
          <w:lang w:val="zh-CN"/>
        </w:rPr>
        <w:t>二、供应商维修维护规定与服务承诺</w:t>
      </w:r>
    </w:p>
    <w:p>
      <w:pPr>
        <w:pStyle w:val="10"/>
        <w:spacing w:line="460" w:lineRule="exact"/>
        <w:ind w:firstLine="460"/>
        <w:rPr>
          <w:color w:val="auto"/>
          <w:sz w:val="24"/>
          <w:highlight w:val="none"/>
          <w:lang w:val="zh-CN"/>
        </w:rPr>
      </w:pPr>
      <w:r>
        <w:rPr>
          <w:rFonts w:hint="eastAsia"/>
          <w:color w:val="auto"/>
          <w:sz w:val="24"/>
          <w:highlight w:val="none"/>
          <w:lang w:val="zh-CN"/>
        </w:rPr>
        <w:t>三、售后服务的具体措施、响应时间和保障机制</w:t>
      </w:r>
    </w:p>
    <w:p>
      <w:pPr>
        <w:pStyle w:val="10"/>
        <w:spacing w:line="460" w:lineRule="exact"/>
        <w:ind w:firstLine="460"/>
        <w:rPr>
          <w:color w:val="auto"/>
          <w:sz w:val="24"/>
          <w:highlight w:val="none"/>
          <w:lang w:val="zh-CN"/>
        </w:rPr>
      </w:pPr>
      <w:r>
        <w:rPr>
          <w:rFonts w:hint="eastAsia"/>
          <w:color w:val="auto"/>
          <w:sz w:val="24"/>
          <w:highlight w:val="none"/>
          <w:lang w:val="zh-CN"/>
        </w:rPr>
        <w:t>四、售后服务违约责任追究条款</w:t>
      </w:r>
    </w:p>
    <w:p>
      <w:pPr>
        <w:pStyle w:val="10"/>
        <w:spacing w:line="460" w:lineRule="exact"/>
        <w:ind w:firstLine="460"/>
        <w:rPr>
          <w:color w:val="auto"/>
          <w:sz w:val="24"/>
          <w:highlight w:val="none"/>
          <w:lang w:val="zh-CN"/>
        </w:rPr>
      </w:pPr>
      <w:r>
        <w:rPr>
          <w:rFonts w:hint="eastAsia"/>
          <w:color w:val="auto"/>
          <w:sz w:val="24"/>
          <w:highlight w:val="none"/>
          <w:lang w:val="zh-CN"/>
        </w:rPr>
        <w:t>五、售后服务联系机构名单、联系人和联系电话</w:t>
      </w: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bookmarkStart w:id="101" w:name="_Toc443898938"/>
      <w:bookmarkStart w:id="102" w:name="_Toc391283521"/>
      <w:bookmarkStart w:id="103" w:name="_Toc424063692"/>
      <w:bookmarkStart w:id="104" w:name="_Toc378257820"/>
      <w:r>
        <w:rPr>
          <w:rFonts w:hint="eastAsia" w:ascii="宋体" w:hAnsi="宋体" w:cs="宋体"/>
          <w:b/>
          <w:bCs/>
          <w:color w:val="auto"/>
          <w:sz w:val="32"/>
          <w:szCs w:val="32"/>
          <w:highlight w:val="none"/>
        </w:rPr>
        <w:t>附件九：</w:t>
      </w: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供应商认为需要提交的其他资料</w:t>
      </w: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附件十：</w:t>
      </w:r>
    </w:p>
    <w:p>
      <w:pPr>
        <w:pStyle w:val="9"/>
        <w:spacing w:line="500" w:lineRule="exact"/>
        <w:ind w:leftChars="0" w:hanging="100" w:firstLineChars="0"/>
        <w:outlineLvl w:val="1"/>
        <w:rPr>
          <w:rFonts w:ascii="宋体" w:hAnsi="宋体" w:cs="宋体"/>
          <w:b/>
          <w:bCs/>
          <w:color w:val="auto"/>
          <w:sz w:val="32"/>
          <w:szCs w:val="32"/>
          <w:highlight w:val="none"/>
        </w:rPr>
      </w:pPr>
    </w:p>
    <w:p>
      <w:pPr>
        <w:pStyle w:val="9"/>
        <w:spacing w:line="500" w:lineRule="exact"/>
        <w:ind w:leftChars="0" w:hanging="100" w:firstLineChars="0"/>
        <w:jc w:val="center"/>
        <w:outlineLvl w:val="1"/>
        <w:rPr>
          <w:rFonts w:ascii="宋体" w:hAnsi="宋体" w:cs="宋体"/>
          <w:b/>
          <w:bCs/>
          <w:color w:val="auto"/>
          <w:sz w:val="32"/>
          <w:szCs w:val="32"/>
          <w:highlight w:val="none"/>
        </w:rPr>
      </w:pPr>
      <w:r>
        <w:rPr>
          <w:rFonts w:hint="eastAsia" w:ascii="宋体" w:hAnsi="宋体" w:cs="宋体"/>
          <w:b/>
          <w:bCs/>
          <w:color w:val="auto"/>
          <w:kern w:val="0"/>
          <w:sz w:val="32"/>
          <w:szCs w:val="32"/>
          <w:highlight w:val="none"/>
          <w:lang w:val="zh-CN"/>
        </w:rPr>
        <w:t>封面格式</w:t>
      </w:r>
      <w:bookmarkEnd w:id="101"/>
      <w:bookmarkEnd w:id="102"/>
      <w:bookmarkEnd w:id="103"/>
      <w:bookmarkEnd w:id="104"/>
    </w:p>
    <w:tbl>
      <w:tblPr>
        <w:tblStyle w:val="1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3" w:hRule="atLeast"/>
          <w:jc w:val="center"/>
        </w:trPr>
        <w:tc>
          <w:tcPr>
            <w:tcW w:w="4471" w:type="dxa"/>
            <w:tcBorders>
              <w:top w:val="single" w:color="auto" w:sz="4" w:space="0"/>
              <w:left w:val="single" w:color="auto" w:sz="4" w:space="0"/>
              <w:bottom w:val="single" w:color="auto" w:sz="4" w:space="0"/>
              <w:right w:val="single" w:color="auto" w:sz="4" w:space="0"/>
            </w:tcBorders>
          </w:tcPr>
          <w:p>
            <w:pPr>
              <w:pStyle w:val="15"/>
              <w:spacing w:line="280" w:lineRule="exact"/>
              <w:rPr>
                <w:b/>
                <w:color w:val="auto"/>
                <w:sz w:val="30"/>
                <w:szCs w:val="20"/>
                <w:highlight w:val="none"/>
              </w:rPr>
            </w:pPr>
          </w:p>
          <w:p>
            <w:pPr>
              <w:pStyle w:val="15"/>
              <w:spacing w:line="280" w:lineRule="exact"/>
              <w:rPr>
                <w:b/>
                <w:color w:val="auto"/>
                <w:sz w:val="30"/>
                <w:szCs w:val="20"/>
                <w:highlight w:val="none"/>
              </w:rPr>
            </w:pPr>
            <w:r>
              <w:rPr>
                <w:rFonts w:hint="eastAsia"/>
                <w:b/>
                <w:color w:val="auto"/>
                <w:sz w:val="30"/>
                <w:szCs w:val="20"/>
                <w:highlight w:val="none"/>
              </w:rPr>
              <w:t>响应文件</w:t>
            </w:r>
          </w:p>
          <w:p>
            <w:pPr>
              <w:pStyle w:val="15"/>
              <w:spacing w:line="280" w:lineRule="exact"/>
              <w:rPr>
                <w:color w:val="auto"/>
                <w:sz w:val="30"/>
                <w:szCs w:val="20"/>
                <w:highlight w:val="none"/>
              </w:rPr>
            </w:pPr>
            <w:r>
              <w:rPr>
                <w:rFonts w:hint="eastAsia"/>
                <w:b/>
                <w:color w:val="auto"/>
                <w:sz w:val="30"/>
                <w:szCs w:val="20"/>
                <w:highlight w:val="none"/>
              </w:rPr>
              <w:t>（正本）</w:t>
            </w:r>
          </w:p>
          <w:p>
            <w:pPr>
              <w:pStyle w:val="15"/>
              <w:spacing w:line="280" w:lineRule="exact"/>
              <w:rPr>
                <w:color w:val="auto"/>
                <w:szCs w:val="20"/>
                <w:highlight w:val="none"/>
              </w:rPr>
            </w:pPr>
            <w:r>
              <w:rPr>
                <w:rFonts w:hint="eastAsia"/>
                <w:color w:val="auto"/>
                <w:szCs w:val="20"/>
                <w:highlight w:val="none"/>
              </w:rPr>
              <w:t xml:space="preserve">项目编号： </w:t>
            </w:r>
          </w:p>
          <w:p>
            <w:pPr>
              <w:pStyle w:val="15"/>
              <w:spacing w:line="280" w:lineRule="exact"/>
              <w:rPr>
                <w:color w:val="auto"/>
                <w:szCs w:val="20"/>
                <w:highlight w:val="none"/>
              </w:rPr>
            </w:pPr>
            <w:r>
              <w:rPr>
                <w:rFonts w:hint="eastAsia"/>
                <w:color w:val="auto"/>
                <w:szCs w:val="20"/>
                <w:highlight w:val="none"/>
              </w:rPr>
              <w:t xml:space="preserve">项目名称： </w:t>
            </w:r>
          </w:p>
          <w:p>
            <w:pPr>
              <w:pStyle w:val="15"/>
              <w:spacing w:line="280" w:lineRule="exact"/>
              <w:rPr>
                <w:color w:val="auto"/>
                <w:szCs w:val="20"/>
                <w:highlight w:val="none"/>
              </w:rPr>
            </w:pPr>
            <w:r>
              <w:rPr>
                <w:rFonts w:hint="eastAsia"/>
                <w:color w:val="auto"/>
                <w:szCs w:val="20"/>
                <w:highlight w:val="none"/>
              </w:rPr>
              <w:t>供应商名称（公章）：</w:t>
            </w:r>
          </w:p>
          <w:p>
            <w:pPr>
              <w:pStyle w:val="15"/>
              <w:spacing w:line="280" w:lineRule="exact"/>
              <w:rPr>
                <w:color w:val="auto"/>
                <w:szCs w:val="20"/>
                <w:highlight w:val="none"/>
              </w:rPr>
            </w:pPr>
            <w:r>
              <w:rPr>
                <w:rFonts w:hint="eastAsia"/>
                <w:color w:val="auto"/>
                <w:szCs w:val="20"/>
                <w:highlight w:val="none"/>
              </w:rPr>
              <w:t>地    址：</w:t>
            </w:r>
          </w:p>
          <w:p>
            <w:pPr>
              <w:pStyle w:val="15"/>
              <w:spacing w:line="280" w:lineRule="exact"/>
              <w:rPr>
                <w:color w:val="auto"/>
                <w:szCs w:val="20"/>
                <w:highlight w:val="none"/>
              </w:rPr>
            </w:pPr>
            <w:r>
              <w:rPr>
                <w:rFonts w:hint="eastAsia"/>
                <w:color w:val="auto"/>
                <w:szCs w:val="20"/>
                <w:highlight w:val="none"/>
              </w:rPr>
              <w:t>电    话：</w:t>
            </w:r>
          </w:p>
          <w:p>
            <w:pPr>
              <w:pStyle w:val="15"/>
              <w:spacing w:line="280" w:lineRule="exact"/>
              <w:rPr>
                <w:color w:val="auto"/>
                <w:szCs w:val="20"/>
                <w:highlight w:val="none"/>
              </w:rPr>
            </w:pPr>
            <w:r>
              <w:rPr>
                <w:rFonts w:hint="eastAsia"/>
                <w:color w:val="auto"/>
                <w:szCs w:val="20"/>
                <w:highlight w:val="none"/>
              </w:rPr>
              <w:t>传    真：</w:t>
            </w:r>
          </w:p>
        </w:tc>
        <w:tc>
          <w:tcPr>
            <w:tcW w:w="4468" w:type="dxa"/>
            <w:tcBorders>
              <w:top w:val="single" w:color="auto" w:sz="4" w:space="0"/>
              <w:left w:val="single" w:color="auto" w:sz="4" w:space="0"/>
              <w:bottom w:val="single" w:color="auto" w:sz="4" w:space="0"/>
              <w:right w:val="single" w:color="auto" w:sz="4" w:space="0"/>
            </w:tcBorders>
          </w:tcPr>
          <w:p>
            <w:pPr>
              <w:pStyle w:val="15"/>
              <w:spacing w:line="280" w:lineRule="exact"/>
              <w:rPr>
                <w:b/>
                <w:color w:val="auto"/>
                <w:sz w:val="30"/>
                <w:szCs w:val="20"/>
                <w:highlight w:val="none"/>
              </w:rPr>
            </w:pPr>
          </w:p>
          <w:p>
            <w:pPr>
              <w:pStyle w:val="15"/>
              <w:spacing w:line="280" w:lineRule="exact"/>
              <w:rPr>
                <w:b/>
                <w:color w:val="auto"/>
                <w:sz w:val="30"/>
                <w:szCs w:val="20"/>
                <w:highlight w:val="none"/>
              </w:rPr>
            </w:pPr>
            <w:r>
              <w:rPr>
                <w:rFonts w:hint="eastAsia"/>
                <w:b/>
                <w:color w:val="auto"/>
                <w:sz w:val="30"/>
                <w:szCs w:val="20"/>
                <w:highlight w:val="none"/>
              </w:rPr>
              <w:t>响应文件</w:t>
            </w:r>
          </w:p>
          <w:p>
            <w:pPr>
              <w:pStyle w:val="15"/>
              <w:spacing w:line="280" w:lineRule="exact"/>
              <w:rPr>
                <w:b/>
                <w:color w:val="auto"/>
                <w:sz w:val="30"/>
                <w:szCs w:val="20"/>
                <w:highlight w:val="none"/>
              </w:rPr>
            </w:pPr>
            <w:r>
              <w:rPr>
                <w:rFonts w:hint="eastAsia"/>
                <w:b/>
                <w:color w:val="auto"/>
                <w:sz w:val="30"/>
                <w:szCs w:val="20"/>
                <w:highlight w:val="none"/>
              </w:rPr>
              <w:t>（副本）</w:t>
            </w:r>
          </w:p>
          <w:p>
            <w:pPr>
              <w:pStyle w:val="15"/>
              <w:spacing w:line="280" w:lineRule="exact"/>
              <w:rPr>
                <w:color w:val="auto"/>
                <w:szCs w:val="20"/>
                <w:highlight w:val="none"/>
              </w:rPr>
            </w:pPr>
            <w:r>
              <w:rPr>
                <w:rFonts w:hint="eastAsia"/>
                <w:color w:val="auto"/>
                <w:szCs w:val="20"/>
                <w:highlight w:val="none"/>
              </w:rPr>
              <w:t xml:space="preserve">项目编号：  </w:t>
            </w:r>
          </w:p>
          <w:p>
            <w:pPr>
              <w:pStyle w:val="15"/>
              <w:spacing w:line="280" w:lineRule="exact"/>
              <w:rPr>
                <w:color w:val="auto"/>
                <w:szCs w:val="20"/>
                <w:highlight w:val="none"/>
              </w:rPr>
            </w:pPr>
            <w:r>
              <w:rPr>
                <w:rFonts w:hint="eastAsia"/>
                <w:color w:val="auto"/>
                <w:szCs w:val="20"/>
                <w:highlight w:val="none"/>
              </w:rPr>
              <w:t>项目名称：</w:t>
            </w:r>
          </w:p>
          <w:p>
            <w:pPr>
              <w:pStyle w:val="15"/>
              <w:spacing w:line="280" w:lineRule="exact"/>
              <w:rPr>
                <w:color w:val="auto"/>
                <w:szCs w:val="20"/>
                <w:highlight w:val="none"/>
              </w:rPr>
            </w:pPr>
            <w:r>
              <w:rPr>
                <w:rFonts w:hint="eastAsia"/>
                <w:color w:val="auto"/>
                <w:szCs w:val="20"/>
                <w:highlight w:val="none"/>
              </w:rPr>
              <w:t>供应商名称（公章）：</w:t>
            </w:r>
          </w:p>
          <w:p>
            <w:pPr>
              <w:pStyle w:val="15"/>
              <w:spacing w:line="280" w:lineRule="exact"/>
              <w:rPr>
                <w:color w:val="auto"/>
                <w:szCs w:val="20"/>
                <w:highlight w:val="none"/>
              </w:rPr>
            </w:pPr>
            <w:r>
              <w:rPr>
                <w:rFonts w:hint="eastAsia"/>
                <w:color w:val="auto"/>
                <w:szCs w:val="20"/>
                <w:highlight w:val="none"/>
              </w:rPr>
              <w:t>地    址：</w:t>
            </w:r>
          </w:p>
          <w:p>
            <w:pPr>
              <w:pStyle w:val="15"/>
              <w:spacing w:line="280" w:lineRule="exact"/>
              <w:rPr>
                <w:color w:val="auto"/>
                <w:szCs w:val="20"/>
                <w:highlight w:val="none"/>
              </w:rPr>
            </w:pPr>
            <w:r>
              <w:rPr>
                <w:rFonts w:hint="eastAsia"/>
                <w:color w:val="auto"/>
                <w:szCs w:val="20"/>
                <w:highlight w:val="none"/>
              </w:rPr>
              <w:t>电    话：</w:t>
            </w:r>
          </w:p>
          <w:p>
            <w:pPr>
              <w:pStyle w:val="15"/>
              <w:spacing w:line="280" w:lineRule="exact"/>
              <w:rPr>
                <w:color w:val="auto"/>
                <w:sz w:val="32"/>
                <w:szCs w:val="20"/>
                <w:highlight w:val="none"/>
              </w:rPr>
            </w:pPr>
            <w:r>
              <w:rPr>
                <w:rFonts w:hint="eastAsia"/>
                <w:color w:val="auto"/>
                <w:szCs w:val="20"/>
                <w:highlight w:val="none"/>
              </w:rPr>
              <w:t xml:space="preserve">传    真： </w:t>
            </w:r>
          </w:p>
        </w:tc>
      </w:tr>
    </w:tbl>
    <w:p>
      <w:pPr>
        <w:pStyle w:val="15"/>
        <w:rPr>
          <w:color w:val="auto"/>
          <w:szCs w:val="20"/>
          <w:highlight w:val="none"/>
        </w:rPr>
      </w:pPr>
    </w:p>
    <w:tbl>
      <w:tblPr>
        <w:tblStyle w:val="1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8980" w:type="dxa"/>
          </w:tcPr>
          <w:p>
            <w:pPr>
              <w:pStyle w:val="15"/>
              <w:spacing w:line="360" w:lineRule="exact"/>
              <w:rPr>
                <w:color w:val="auto"/>
                <w:sz w:val="30"/>
                <w:szCs w:val="20"/>
                <w:highlight w:val="none"/>
              </w:rPr>
            </w:pPr>
            <w:r>
              <w:rPr>
                <w:rFonts w:hint="eastAsia"/>
                <w:b/>
                <w:color w:val="auto"/>
                <w:sz w:val="30"/>
                <w:szCs w:val="20"/>
                <w:highlight w:val="none"/>
              </w:rPr>
              <w:t xml:space="preserve">证件资料及资质证明文件 </w:t>
            </w:r>
          </w:p>
          <w:p>
            <w:pPr>
              <w:pStyle w:val="15"/>
              <w:spacing w:line="360" w:lineRule="exact"/>
              <w:rPr>
                <w:color w:val="auto"/>
                <w:szCs w:val="20"/>
                <w:highlight w:val="none"/>
              </w:rPr>
            </w:pPr>
            <w:r>
              <w:rPr>
                <w:rFonts w:hint="eastAsia"/>
                <w:color w:val="auto"/>
                <w:szCs w:val="20"/>
                <w:highlight w:val="none"/>
              </w:rPr>
              <w:t xml:space="preserve">项目编号： </w:t>
            </w:r>
          </w:p>
          <w:p>
            <w:pPr>
              <w:pStyle w:val="15"/>
              <w:spacing w:line="360" w:lineRule="exact"/>
              <w:rPr>
                <w:color w:val="auto"/>
                <w:szCs w:val="20"/>
                <w:highlight w:val="none"/>
              </w:rPr>
            </w:pPr>
            <w:r>
              <w:rPr>
                <w:rFonts w:hint="eastAsia"/>
                <w:color w:val="auto"/>
                <w:szCs w:val="20"/>
                <w:highlight w:val="none"/>
              </w:rPr>
              <w:t>项目名称：</w:t>
            </w:r>
          </w:p>
          <w:p>
            <w:pPr>
              <w:pStyle w:val="15"/>
              <w:spacing w:line="360" w:lineRule="exact"/>
              <w:rPr>
                <w:color w:val="auto"/>
                <w:szCs w:val="20"/>
                <w:highlight w:val="none"/>
                <w:u w:val="single"/>
              </w:rPr>
            </w:pPr>
            <w:r>
              <w:rPr>
                <w:rFonts w:hint="eastAsia"/>
                <w:color w:val="auto"/>
                <w:szCs w:val="20"/>
                <w:highlight w:val="none"/>
              </w:rPr>
              <w:t>供应商名称（公章）：</w:t>
            </w:r>
          </w:p>
          <w:tbl>
            <w:tblPr>
              <w:tblStyle w:val="16"/>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490"/>
              <w:gridCol w:w="158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r>
                    <w:rPr>
                      <w:rFonts w:hint="eastAsia"/>
                      <w:color w:val="auto"/>
                      <w:szCs w:val="20"/>
                      <w:highlight w:val="none"/>
                    </w:rPr>
                    <w:t>序号</w:t>
                  </w:r>
                </w:p>
              </w:tc>
              <w:tc>
                <w:tcPr>
                  <w:tcW w:w="3490" w:type="dxa"/>
                  <w:tcBorders>
                    <w:top w:val="single" w:color="auto" w:sz="4" w:space="0"/>
                    <w:left w:val="single" w:color="auto" w:sz="4" w:space="0"/>
                    <w:bottom w:val="single" w:color="auto" w:sz="4" w:space="0"/>
                    <w:right w:val="single" w:color="auto" w:sz="4" w:space="0"/>
                  </w:tcBorders>
                </w:tcPr>
                <w:p>
                  <w:pPr>
                    <w:pStyle w:val="15"/>
                    <w:spacing w:line="360" w:lineRule="exact"/>
                    <w:jc w:val="center"/>
                    <w:rPr>
                      <w:color w:val="auto"/>
                      <w:szCs w:val="20"/>
                      <w:highlight w:val="none"/>
                    </w:rPr>
                  </w:pPr>
                  <w:r>
                    <w:rPr>
                      <w:rFonts w:hint="eastAsia"/>
                      <w:color w:val="auto"/>
                      <w:szCs w:val="20"/>
                      <w:highlight w:val="none"/>
                    </w:rPr>
                    <w:t>证件名称</w:t>
                  </w:r>
                </w:p>
              </w:tc>
              <w:tc>
                <w:tcPr>
                  <w:tcW w:w="15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r>
                    <w:rPr>
                      <w:rFonts w:hint="eastAsia"/>
                      <w:color w:val="auto"/>
                      <w:szCs w:val="20"/>
                      <w:highlight w:val="none"/>
                    </w:rPr>
                    <w:t>数量</w:t>
                  </w:r>
                </w:p>
              </w:tc>
              <w:tc>
                <w:tcPr>
                  <w:tcW w:w="1529"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r>
                    <w:rPr>
                      <w:rFonts w:hint="eastAsia"/>
                      <w:color w:val="auto"/>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r>
                    <w:rPr>
                      <w:rFonts w:hint="eastAsia"/>
                      <w:color w:val="auto"/>
                      <w:szCs w:val="20"/>
                      <w:highlight w:val="none"/>
                    </w:rPr>
                    <w:t>1</w:t>
                  </w:r>
                </w:p>
              </w:tc>
              <w:tc>
                <w:tcPr>
                  <w:tcW w:w="3490"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r>
                    <w:rPr>
                      <w:rFonts w:hint="eastAsia"/>
                      <w:color w:val="auto"/>
                      <w:szCs w:val="20"/>
                      <w:highlight w:val="none"/>
                    </w:rPr>
                    <w:t>2</w:t>
                  </w:r>
                </w:p>
              </w:tc>
              <w:tc>
                <w:tcPr>
                  <w:tcW w:w="3490"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r>
                    <w:rPr>
                      <w:rFonts w:hint="eastAsia"/>
                      <w:color w:val="auto"/>
                      <w:szCs w:val="20"/>
                      <w:highlight w:val="none"/>
                    </w:rPr>
                    <w:t>…</w:t>
                  </w:r>
                </w:p>
              </w:tc>
              <w:tc>
                <w:tcPr>
                  <w:tcW w:w="3490"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5"/>
                    <w:spacing w:line="360" w:lineRule="exact"/>
                    <w:rPr>
                      <w:color w:val="auto"/>
                      <w:szCs w:val="20"/>
                      <w:highlight w:val="none"/>
                    </w:rPr>
                  </w:pPr>
                </w:p>
              </w:tc>
            </w:tr>
          </w:tbl>
          <w:p>
            <w:pPr>
              <w:pStyle w:val="15"/>
              <w:spacing w:line="360" w:lineRule="exact"/>
              <w:rPr>
                <w:color w:val="auto"/>
                <w:szCs w:val="20"/>
                <w:highlight w:val="none"/>
              </w:rPr>
            </w:pPr>
          </w:p>
        </w:tc>
      </w:tr>
    </w:tbl>
    <w:p>
      <w:pPr>
        <w:pStyle w:val="15"/>
        <w:spacing w:before="0" w:beforeAutospacing="0" w:after="0" w:afterAutospacing="0"/>
        <w:rPr>
          <w:rFonts w:eastAsia="黑体"/>
          <w:b/>
          <w:color w:val="auto"/>
          <w:sz w:val="32"/>
          <w:szCs w:val="20"/>
          <w:highlight w:val="none"/>
        </w:rPr>
      </w:pPr>
    </w:p>
    <w:p>
      <w:pPr>
        <w:pStyle w:val="15"/>
        <w:spacing w:before="0" w:beforeAutospacing="0" w:after="0" w:afterAutospacing="0"/>
        <w:ind w:firstLine="630" w:firstLineChars="196"/>
        <w:rPr>
          <w:rFonts w:eastAsia="黑体"/>
          <w:b/>
          <w:color w:val="auto"/>
          <w:sz w:val="32"/>
          <w:szCs w:val="20"/>
          <w:highlight w:val="none"/>
        </w:rPr>
      </w:pPr>
      <w:r>
        <w:rPr>
          <w:rFonts w:hint="eastAsia" w:eastAsia="黑体"/>
          <w:b/>
          <w:color w:val="auto"/>
          <w:sz w:val="32"/>
          <w:szCs w:val="20"/>
          <w:highlight w:val="none"/>
        </w:rPr>
        <w:t>封口格式：</w:t>
      </w:r>
    </w:p>
    <w:tbl>
      <w:tblPr>
        <w:tblStyle w:val="16"/>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100" w:type="dxa"/>
            <w:tcBorders>
              <w:top w:val="single" w:color="auto" w:sz="4" w:space="0"/>
              <w:left w:val="single" w:color="auto" w:sz="4" w:space="0"/>
              <w:bottom w:val="single" w:color="auto" w:sz="4" w:space="0"/>
              <w:right w:val="single" w:color="auto" w:sz="4" w:space="0"/>
            </w:tcBorders>
            <w:vAlign w:val="center"/>
          </w:tcPr>
          <w:p>
            <w:pPr>
              <w:pStyle w:val="15"/>
              <w:tabs>
                <w:tab w:val="left" w:pos="0"/>
              </w:tabs>
              <w:ind w:left="-260" w:leftChars="-124" w:firstLine="259" w:firstLineChars="108"/>
              <w:jc w:val="center"/>
              <w:rPr>
                <w:color w:val="auto"/>
                <w:szCs w:val="20"/>
                <w:highlight w:val="none"/>
              </w:rPr>
            </w:pPr>
            <w:r>
              <w:rPr>
                <w:rFonts w:hint="eastAsia"/>
                <w:color w:val="auto"/>
                <w:szCs w:val="20"/>
                <w:highlight w:val="none"/>
              </w:rPr>
              <w:t>………………于</w:t>
            </w:r>
            <w:r>
              <w:rPr>
                <w:rFonts w:hint="eastAsia"/>
                <w:color w:val="auto"/>
                <w:highlight w:val="none"/>
              </w:rPr>
              <w:t>年月日</w:t>
            </w:r>
            <w:r>
              <w:rPr>
                <w:rFonts w:hint="eastAsia"/>
                <w:color w:val="auto"/>
                <w:szCs w:val="20"/>
                <w:highlight w:val="none"/>
              </w:rPr>
              <w:t>之前不准启封（公章）…………………</w:t>
            </w:r>
          </w:p>
        </w:tc>
      </w:tr>
    </w:tbl>
    <w:p>
      <w:pPr>
        <w:rPr>
          <w:rFonts w:ascii="宋体" w:hAnsi="宋体"/>
          <w:color w:val="auto"/>
          <w:highlight w:val="none"/>
        </w:rPr>
      </w:pPr>
      <w:bookmarkStart w:id="105" w:name="_Toc421524513"/>
      <w:bookmarkStart w:id="106" w:name="_Toc25705"/>
      <w:bookmarkStart w:id="107" w:name="_Toc450115354"/>
      <w:bookmarkStart w:id="108" w:name="_Toc388883679"/>
    </w:p>
    <w:p>
      <w:pPr>
        <w:rPr>
          <w:rFonts w:ascii="宋体" w:hAnsi="宋体"/>
          <w:color w:val="auto"/>
          <w:highlight w:val="none"/>
        </w:rPr>
      </w:pPr>
    </w:p>
    <w:bookmarkEnd w:id="105"/>
    <w:bookmarkEnd w:id="106"/>
    <w:bookmarkEnd w:id="107"/>
    <w:bookmarkEnd w:id="108"/>
    <w:p>
      <w:pPr>
        <w:pStyle w:val="3"/>
        <w:rPr>
          <w:rFonts w:hAnsi="宋体"/>
          <w:color w:val="auto"/>
          <w:sz w:val="24"/>
          <w:szCs w:val="24"/>
          <w:highlight w:val="none"/>
        </w:rPr>
      </w:pPr>
      <w:r>
        <w:rPr>
          <w:rFonts w:hint="eastAsia" w:ascii="宋体" w:hAnsi="宋体"/>
          <w:bCs w:val="0"/>
          <w:color w:val="auto"/>
          <w:highlight w:val="none"/>
        </w:rPr>
        <w:t>第六章  评分标准</w:t>
      </w:r>
    </w:p>
    <w:tbl>
      <w:tblPr>
        <w:tblStyle w:val="16"/>
        <w:tblW w:w="9765" w:type="dxa"/>
        <w:tblInd w:w="-2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7170"/>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560" w:type="dxa"/>
            <w:tcBorders>
              <w:left w:val="single" w:color="auto" w:sz="4" w:space="0"/>
            </w:tcBorders>
            <w:vAlign w:val="center"/>
          </w:tcPr>
          <w:p>
            <w:pPr>
              <w:spacing w:line="24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评审项目</w:t>
            </w:r>
          </w:p>
        </w:tc>
        <w:tc>
          <w:tcPr>
            <w:tcW w:w="7170" w:type="dxa"/>
            <w:vAlign w:val="center"/>
          </w:tcPr>
          <w:p>
            <w:pPr>
              <w:spacing w:line="24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评审要素</w:t>
            </w:r>
          </w:p>
        </w:tc>
        <w:tc>
          <w:tcPr>
            <w:tcW w:w="1035" w:type="dxa"/>
            <w:vAlign w:val="center"/>
          </w:tcPr>
          <w:p>
            <w:pPr>
              <w:spacing w:line="24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15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报价</w:t>
            </w:r>
          </w:p>
        </w:tc>
        <w:tc>
          <w:tcPr>
            <w:tcW w:w="717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从所有车辆配件清单报价明细表中，随机抽取</w:t>
            </w:r>
            <w:r>
              <w:rPr>
                <w:sz w:val="24"/>
                <w:szCs w:val="24"/>
              </w:rPr>
              <w:t>20</w:t>
            </w:r>
            <w:r>
              <w:rPr>
                <w:rFonts w:hint="eastAsia"/>
                <w:sz w:val="24"/>
                <w:szCs w:val="24"/>
              </w:rPr>
              <w:t>项</w:t>
            </w:r>
            <w:r>
              <w:rPr>
                <w:rFonts w:hint="eastAsia"/>
                <w:sz w:val="24"/>
                <w:szCs w:val="24"/>
                <w:lang w:eastAsia="zh-CN"/>
              </w:rPr>
              <w:t>（</w:t>
            </w:r>
            <w:r>
              <w:rPr>
                <w:rFonts w:hint="eastAsia"/>
                <w:sz w:val="24"/>
                <w:szCs w:val="24"/>
              </w:rPr>
              <w:t>清单报价明细表中</w:t>
            </w:r>
            <w:r>
              <w:rPr>
                <w:rFonts w:hint="eastAsia"/>
                <w:sz w:val="24"/>
                <w:szCs w:val="24"/>
                <w:lang w:eastAsia="zh-CN"/>
              </w:rPr>
              <w:t>标颜色的随机抽取</w:t>
            </w:r>
            <w:r>
              <w:rPr>
                <w:rFonts w:hint="eastAsia"/>
                <w:sz w:val="24"/>
                <w:szCs w:val="24"/>
                <w:lang w:val="en-US" w:eastAsia="zh-CN"/>
              </w:rPr>
              <w:t>10项，未标颜色部分随机抽取10项</w:t>
            </w:r>
            <w:r>
              <w:rPr>
                <w:rFonts w:hint="eastAsia"/>
                <w:sz w:val="24"/>
                <w:szCs w:val="24"/>
                <w:lang w:eastAsia="zh-CN"/>
              </w:rPr>
              <w:t>）</w:t>
            </w:r>
            <w:r>
              <w:rPr>
                <w:rFonts w:hint="eastAsia"/>
                <w:sz w:val="24"/>
                <w:szCs w:val="24"/>
              </w:rPr>
              <w:t>车辆配件报价中的单项价格或工时价格，每个车辆配件的有效单项价格或工时价格的最低值为每项的评标基准价，投标报价与评标基准价相等的得满分，报价得分＝（评标基准价/有效投标的各项价格）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分。抽取的</w:t>
            </w:r>
            <w:r>
              <w:rPr>
                <w:sz w:val="24"/>
                <w:szCs w:val="24"/>
              </w:rPr>
              <w:t>20</w:t>
            </w:r>
            <w:r>
              <w:rPr>
                <w:rFonts w:hint="eastAsia"/>
                <w:sz w:val="24"/>
                <w:szCs w:val="24"/>
              </w:rPr>
              <w:t>项报价价格依次进行计算，然后进行汇总合计，每一项最高得</w:t>
            </w:r>
            <w:r>
              <w:rPr>
                <w:rFonts w:hint="eastAsia"/>
                <w:sz w:val="24"/>
                <w:szCs w:val="24"/>
                <w:lang w:val="en-US" w:eastAsia="zh-CN"/>
              </w:rPr>
              <w:t>2</w:t>
            </w:r>
            <w:r>
              <w:rPr>
                <w:rFonts w:hint="eastAsia"/>
                <w:sz w:val="24"/>
                <w:szCs w:val="24"/>
              </w:rPr>
              <w:t>分，本项最高得</w:t>
            </w:r>
            <w:r>
              <w:rPr>
                <w:rFonts w:hint="eastAsia"/>
                <w:sz w:val="24"/>
                <w:szCs w:val="24"/>
                <w:lang w:val="en-US" w:eastAsia="zh-CN"/>
              </w:rPr>
              <w:t>40</w:t>
            </w:r>
            <w:r>
              <w:rPr>
                <w:rFonts w:hint="eastAsia"/>
                <w:sz w:val="24"/>
                <w:szCs w:val="24"/>
              </w:rPr>
              <w:t>分。</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eastAsia="宋体"/>
                <w:sz w:val="24"/>
                <w:szCs w:val="24"/>
                <w:lang w:eastAsia="zh-CN"/>
              </w:rPr>
            </w:pPr>
            <w:r>
              <w:rPr>
                <w:rFonts w:hint="eastAsia" w:ascii="宋体" w:hAnsi="宋体"/>
                <w:b/>
                <w:color w:val="auto"/>
                <w:sz w:val="24"/>
                <w:szCs w:val="24"/>
                <w:highlight w:val="none"/>
              </w:rPr>
              <w:t>最终报价不得高于</w:t>
            </w:r>
            <w:r>
              <w:rPr>
                <w:rFonts w:hint="eastAsia"/>
                <w:b/>
                <w:color w:val="auto"/>
                <w:sz w:val="24"/>
                <w:szCs w:val="24"/>
                <w:highlight w:val="none"/>
                <w:lang w:eastAsia="zh-CN"/>
              </w:rPr>
              <w:t>投标人的</w:t>
            </w:r>
            <w:r>
              <w:rPr>
                <w:rFonts w:hint="eastAsia" w:ascii="宋体" w:hAnsi="宋体"/>
                <w:b/>
                <w:color w:val="auto"/>
                <w:sz w:val="24"/>
                <w:szCs w:val="24"/>
                <w:highlight w:val="none"/>
              </w:rPr>
              <w:t>市场优惠价。</w:t>
            </w:r>
          </w:p>
        </w:tc>
        <w:tc>
          <w:tcPr>
            <w:tcW w:w="1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15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供应商业绩</w:t>
            </w:r>
          </w:p>
        </w:tc>
        <w:tc>
          <w:tcPr>
            <w:tcW w:w="717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供应商近三年（201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 1 月 1 日以来）的类似业绩，每</w:t>
            </w:r>
            <w:r>
              <w:rPr>
                <w:rFonts w:hint="eastAsia" w:ascii="宋体" w:hAnsi="宋体" w:eastAsia="宋体" w:cs="宋体"/>
                <w:color w:val="auto"/>
                <w:sz w:val="24"/>
                <w:szCs w:val="24"/>
                <w:highlight w:val="none"/>
                <w:lang w:eastAsia="zh-CN"/>
              </w:rPr>
              <w:t>有一</w:t>
            </w: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 xml:space="preserve"> 2.5分，最高得 10 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注：类似业绩是指与各级行政事业单位、社会团体或企业签订车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辆维修合同，以合同原件为准。以合同签订日期为准</w:t>
            </w:r>
          </w:p>
        </w:tc>
        <w:tc>
          <w:tcPr>
            <w:tcW w:w="1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场地条件</w:t>
            </w:r>
          </w:p>
        </w:tc>
        <w:tc>
          <w:tcPr>
            <w:tcW w:w="717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生产经营厂房面积达到 </w:t>
            </w:r>
            <w:r>
              <w:rPr>
                <w:rFonts w:ascii="宋体" w:hAnsi="宋体" w:eastAsia="宋体" w:cs="宋体"/>
                <w:color w:val="auto"/>
                <w:sz w:val="24"/>
                <w:szCs w:val="24"/>
                <w:highlight w:val="none"/>
              </w:rPr>
              <w:t>500</w:t>
            </w:r>
            <w:r>
              <w:rPr>
                <w:rFonts w:hint="eastAsia" w:ascii="宋体" w:hAnsi="宋体" w:eastAsia="宋体" w:cs="宋体"/>
                <w:color w:val="auto"/>
                <w:sz w:val="24"/>
                <w:szCs w:val="24"/>
                <w:highlight w:val="none"/>
              </w:rPr>
              <w:t xml:space="preserve"> ㎡得</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 xml:space="preserve"> 分，每超过 </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0 ㎡加 1 分,最多加</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分，本项最多得</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(经营厂房</w:t>
            </w:r>
            <w:r>
              <w:rPr>
                <w:rFonts w:ascii="宋体" w:hAnsi="宋体" w:eastAsia="宋体" w:cs="宋体"/>
                <w:color w:val="auto"/>
                <w:sz w:val="24"/>
                <w:szCs w:val="24"/>
                <w:highlight w:val="none"/>
              </w:rPr>
              <w:t>面积少于</w:t>
            </w:r>
            <w:r>
              <w:rPr>
                <w:rFonts w:hint="eastAsia" w:ascii="宋体" w:hAnsi="宋体" w:eastAsia="宋体" w:cs="宋体"/>
                <w:color w:val="auto"/>
                <w:sz w:val="24"/>
                <w:szCs w:val="24"/>
                <w:highlight w:val="none"/>
              </w:rPr>
              <w:t>500㎡</w:t>
            </w:r>
            <w:r>
              <w:rPr>
                <w:rFonts w:ascii="宋体" w:hAnsi="宋体" w:eastAsia="宋体" w:cs="宋体"/>
                <w:color w:val="auto"/>
                <w:sz w:val="24"/>
                <w:szCs w:val="24"/>
                <w:highlight w:val="none"/>
              </w:rPr>
              <w:t>的不得分；</w:t>
            </w:r>
            <w:r>
              <w:rPr>
                <w:rFonts w:hint="eastAsia" w:ascii="宋体" w:hAnsi="宋体" w:eastAsia="宋体" w:cs="宋体"/>
                <w:color w:val="auto"/>
                <w:sz w:val="24"/>
                <w:szCs w:val="24"/>
                <w:highlight w:val="none"/>
              </w:rPr>
              <w:t xml:space="preserve">每超过部分不足 </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0 ㎡的不得分，以产权证或租赁合同原件为准)</w:t>
            </w:r>
            <w:r>
              <w:rPr>
                <w:rFonts w:hint="eastAsia" w:ascii="宋体" w:hAnsi="宋体" w:eastAsia="宋体" w:cs="宋体"/>
                <w:color w:val="auto"/>
                <w:sz w:val="24"/>
                <w:szCs w:val="24"/>
                <w:highlight w:val="none"/>
                <w:lang w:eastAsia="zh-CN"/>
              </w:rPr>
              <w:t>。</w:t>
            </w:r>
          </w:p>
        </w:tc>
        <w:tc>
          <w:tcPr>
            <w:tcW w:w="1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560"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人员情况</w:t>
            </w:r>
          </w:p>
        </w:tc>
        <w:tc>
          <w:tcPr>
            <w:tcW w:w="717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供应商具有相关专业维修人员且为本企业正式聘用的，每具有一名机修、喷漆、钣金、液压等从业资格证书或具有中级</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技师的，</w:t>
            </w:r>
            <w:r>
              <w:rPr>
                <w:rFonts w:hint="eastAsia" w:ascii="宋体" w:hAnsi="宋体" w:eastAsia="宋体" w:cs="宋体"/>
                <w:b/>
                <w:bCs/>
                <w:color w:val="auto"/>
                <w:sz w:val="24"/>
                <w:szCs w:val="24"/>
                <w:highlight w:val="none"/>
              </w:rPr>
              <w:t>每名得1分，最多得10分。（提供证书原件，否则不得分</w:t>
            </w:r>
            <w:r>
              <w:rPr>
                <w:rFonts w:hint="eastAsia" w:ascii="宋体" w:hAnsi="宋体" w:eastAsia="宋体" w:cs="宋体"/>
                <w:color w:val="auto"/>
                <w:sz w:val="24"/>
                <w:szCs w:val="24"/>
                <w:highlight w:val="none"/>
              </w:rPr>
              <w:t>）</w:t>
            </w:r>
          </w:p>
        </w:tc>
        <w:tc>
          <w:tcPr>
            <w:tcW w:w="1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5" w:hRule="atLeast"/>
        </w:trPr>
        <w:tc>
          <w:tcPr>
            <w:tcW w:w="15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维修设备</w:t>
            </w:r>
          </w:p>
        </w:tc>
        <w:tc>
          <w:tcPr>
            <w:tcW w:w="7170"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针对供应商自己拥有车辆维修设备的多少和先进性在 1-10 分之间评分（主要是车辆举升设备（或地沟）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控系统检测设备、四轮定位仪、含测量定位系统的车身校正设备、制动检测台、电喷燃油系统清洗设备、发动机净化设备、测滑试验台、车速试验台、前照灯检测仪、废气分析仪、发动机检测仪、自动变速器检测清洗设备、悬架装置检测台、空调冷媒加注回收设备），以供应商在报价文件中提供的维修设备的清单、彩图（每种设备一张彩图）为准。</w:t>
            </w:r>
          </w:p>
        </w:tc>
        <w:tc>
          <w:tcPr>
            <w:tcW w:w="1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15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717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针对本项目的服务总体要求的理解；详细服务方案修理范围说明； 维修及相关服务的工作程序和业务流程； 维修质量控制体系以及运作说明；安全生产制度、公司管理规章制度；服务计划和方案；服务说明、服务响应等内容进行详细的说明，评审专家对各供应商综合评审，得1-10分。</w:t>
            </w:r>
          </w:p>
        </w:tc>
        <w:tc>
          <w:tcPr>
            <w:tcW w:w="1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15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维修质量及相关承诺</w:t>
            </w:r>
          </w:p>
        </w:tc>
        <w:tc>
          <w:tcPr>
            <w:tcW w:w="717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承诺的维修质量、保证送修方获得优先服务的权利，并按承诺约定时间内完成维修工作、设有24小时服务电话及提供服务的，并能为送修方提供紧急救援抢修服务的，为送修方定期保养的车辆办理优惠保养等承诺进行横向对比，综合评价得1-</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0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6" w:hRule="atLeast"/>
        </w:trPr>
        <w:tc>
          <w:tcPr>
            <w:tcW w:w="1560" w:type="dxa"/>
            <w:tcBorders>
              <w:right w:val="single" w:color="auto" w:sz="4" w:space="0"/>
            </w:tcBorders>
            <w:vAlign w:val="center"/>
          </w:tcPr>
          <w:p>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7170" w:type="dxa"/>
            <w:tcBorders>
              <w:top w:val="single" w:color="auto" w:sz="4" w:space="0"/>
            </w:tcBorders>
            <w:vAlign w:val="center"/>
          </w:tcPr>
          <w:p>
            <w:pPr>
              <w:autoSpaceDE w:val="0"/>
              <w:autoSpaceDN w:val="0"/>
              <w:adjustRightInd w:val="0"/>
              <w:spacing w:line="240" w:lineRule="auto"/>
              <w:jc w:val="left"/>
              <w:rPr>
                <w:rFonts w:ascii="宋体" w:hAnsi="宋体" w:eastAsia="宋体" w:cs="宋体"/>
                <w:color w:val="auto"/>
                <w:sz w:val="24"/>
                <w:szCs w:val="24"/>
                <w:highlight w:val="none"/>
              </w:rPr>
            </w:pPr>
          </w:p>
        </w:tc>
        <w:tc>
          <w:tcPr>
            <w:tcW w:w="1035" w:type="dxa"/>
            <w:tcBorders>
              <w:top w:val="single" w:color="auto" w:sz="4" w:space="0"/>
            </w:tcBorders>
            <w:vAlign w:val="center"/>
          </w:tcPr>
          <w:p>
            <w:pPr>
              <w:autoSpaceDE w:val="0"/>
              <w:autoSpaceDN w:val="0"/>
              <w:adjustRightInd w:val="0"/>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pPr>
        <w:spacing w:line="400" w:lineRule="exact"/>
        <w:rPr>
          <w:rFonts w:hAnsi="宋体"/>
          <w:color w:val="auto"/>
          <w:sz w:val="24"/>
          <w:szCs w:val="24"/>
          <w:highlight w:val="none"/>
        </w:rPr>
      </w:pPr>
    </w:p>
    <w:p>
      <w:pPr>
        <w:spacing w:line="400" w:lineRule="exact"/>
        <w:ind w:firstLine="482" w:firstLineChars="200"/>
        <w:rPr>
          <w:rFonts w:ascii="宋体" w:hAnsi="宋体" w:eastAsia="宋体" w:cs="宋体"/>
          <w:b/>
          <w:bCs/>
          <w:color w:val="auto"/>
          <w:sz w:val="24"/>
          <w:highlight w:val="none"/>
          <w:u w:val="single"/>
        </w:rPr>
      </w:pPr>
      <w:r>
        <w:rPr>
          <w:rFonts w:hint="eastAsia"/>
          <w:b/>
          <w:color w:val="auto"/>
          <w:sz w:val="24"/>
          <w:highlight w:val="none"/>
        </w:rPr>
        <w:t>备注：</w:t>
      </w:r>
      <w:r>
        <w:rPr>
          <w:rFonts w:hint="eastAsia" w:ascii="宋体" w:hAnsi="宋体" w:eastAsia="宋体" w:cs="宋体"/>
          <w:b/>
          <w:bCs/>
          <w:color w:val="auto"/>
          <w:sz w:val="24"/>
          <w:highlight w:val="none"/>
        </w:rPr>
        <w:t>1、类似经营业绩是指：201</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年1月1日以来与各级行政事业单位、社会团体或企业签订车辆维修合同业绩。投标时需同时提供合同原件。</w:t>
      </w:r>
    </w:p>
    <w:p>
      <w:pPr>
        <w:spacing w:line="400" w:lineRule="exact"/>
        <w:ind w:firstLine="482" w:firstLineChars="200"/>
        <w:rPr>
          <w:b/>
          <w:bCs/>
          <w:color w:val="auto"/>
          <w:sz w:val="24"/>
          <w:highlight w:val="none"/>
        </w:rPr>
      </w:pPr>
      <w:r>
        <w:rPr>
          <w:rFonts w:hint="eastAsia" w:ascii="宋体" w:hAnsi="宋体" w:eastAsia="宋体" w:cs="宋体"/>
          <w:b/>
          <w:bCs/>
          <w:color w:val="auto"/>
          <w:sz w:val="24"/>
          <w:highlight w:val="none"/>
        </w:rPr>
        <w:t>2、</w:t>
      </w:r>
      <w:r>
        <w:rPr>
          <w:rFonts w:hint="eastAsia"/>
          <w:b/>
          <w:color w:val="auto"/>
          <w:sz w:val="24"/>
          <w:highlight w:val="none"/>
        </w:rPr>
        <w:t>评分标准仅针对供应商；</w:t>
      </w:r>
    </w:p>
    <w:p>
      <w:pPr>
        <w:spacing w:line="400" w:lineRule="exact"/>
        <w:ind w:firstLine="482" w:firstLineChars="200"/>
        <w:rPr>
          <w:b/>
          <w:color w:val="auto"/>
          <w:sz w:val="24"/>
          <w:highlight w:val="none"/>
        </w:rPr>
      </w:pPr>
      <w:r>
        <w:rPr>
          <w:rFonts w:hint="eastAsia"/>
          <w:b/>
          <w:color w:val="auto"/>
          <w:sz w:val="24"/>
          <w:highlight w:val="none"/>
        </w:rPr>
        <w:t>3、本项目不接受负偏离；</w:t>
      </w:r>
    </w:p>
    <w:p>
      <w:pPr>
        <w:spacing w:line="400" w:lineRule="exact"/>
        <w:ind w:firstLine="482" w:firstLineChars="200"/>
        <w:rPr>
          <w:b/>
          <w:color w:val="auto"/>
          <w:sz w:val="24"/>
          <w:highlight w:val="none"/>
        </w:rPr>
      </w:pPr>
      <w:r>
        <w:rPr>
          <w:rFonts w:hint="eastAsia"/>
          <w:b/>
          <w:color w:val="auto"/>
          <w:sz w:val="24"/>
          <w:highlight w:val="none"/>
        </w:rPr>
        <w:t>4、评分如出现小数点，则保留小数点后两位；</w:t>
      </w:r>
    </w:p>
    <w:p>
      <w:pPr>
        <w:spacing w:line="400" w:lineRule="exact"/>
        <w:ind w:firstLine="482" w:firstLineChars="200"/>
        <w:rPr>
          <w:b/>
          <w:color w:val="auto"/>
          <w:sz w:val="24"/>
          <w:highlight w:val="none"/>
        </w:rPr>
      </w:pPr>
      <w:r>
        <w:rPr>
          <w:rFonts w:hint="eastAsia"/>
          <w:b/>
          <w:color w:val="auto"/>
          <w:sz w:val="24"/>
          <w:highlight w:val="none"/>
        </w:rPr>
        <w:t>5、各供应商得分为所有磋商小组成员所打分数的平均值；</w:t>
      </w:r>
    </w:p>
    <w:p>
      <w:pPr>
        <w:spacing w:line="400" w:lineRule="exact"/>
        <w:ind w:firstLine="482" w:firstLineChars="200"/>
        <w:rPr>
          <w:b/>
          <w:color w:val="auto"/>
          <w:sz w:val="24"/>
          <w:highlight w:val="none"/>
        </w:rPr>
      </w:pPr>
      <w:r>
        <w:rPr>
          <w:rFonts w:hint="eastAsia"/>
          <w:b/>
          <w:color w:val="auto"/>
          <w:sz w:val="24"/>
          <w:highlight w:val="none"/>
          <w:lang w:val="en-US" w:eastAsia="zh-CN"/>
        </w:rPr>
        <w:t>6</w:t>
      </w:r>
      <w:r>
        <w:rPr>
          <w:rFonts w:hint="eastAsia"/>
          <w:b/>
          <w:color w:val="auto"/>
          <w:sz w:val="24"/>
          <w:highlight w:val="none"/>
        </w:rPr>
        <w:t>、在任何评标环节中，需</w:t>
      </w:r>
      <w:r>
        <w:rPr>
          <w:rFonts w:hint="eastAsia" w:ascii="宋体" w:hAnsi="宋体"/>
          <w:b/>
          <w:color w:val="auto"/>
          <w:sz w:val="24"/>
          <w:highlight w:val="none"/>
        </w:rPr>
        <w:t>磋商小组</w:t>
      </w:r>
      <w:r>
        <w:rPr>
          <w:rFonts w:hint="eastAsia"/>
          <w:b/>
          <w:color w:val="auto"/>
          <w:sz w:val="24"/>
          <w:highlight w:val="none"/>
        </w:rPr>
        <w:t>就某项定性的评审结论做出表决的，由</w:t>
      </w:r>
      <w:r>
        <w:rPr>
          <w:rFonts w:hint="eastAsia" w:ascii="宋体" w:hAnsi="宋体"/>
          <w:b/>
          <w:color w:val="auto"/>
          <w:sz w:val="24"/>
          <w:highlight w:val="none"/>
        </w:rPr>
        <w:t>磋商小组</w:t>
      </w:r>
      <w:r>
        <w:rPr>
          <w:rFonts w:hint="eastAsia"/>
          <w:b/>
          <w:color w:val="auto"/>
          <w:sz w:val="24"/>
          <w:highlight w:val="none"/>
        </w:rPr>
        <w:t>全体成员按照少数服从多数的原则，以记名投票方式表决。</w:t>
      </w:r>
    </w:p>
    <w:p>
      <w:pPr>
        <w:spacing w:line="400" w:lineRule="exact"/>
        <w:ind w:firstLine="482" w:firstLineChars="200"/>
        <w:rPr>
          <w:b/>
          <w:color w:val="auto"/>
          <w:sz w:val="24"/>
          <w:highlight w:val="none"/>
        </w:rPr>
      </w:pPr>
      <w:r>
        <w:rPr>
          <w:rFonts w:hint="eastAsia"/>
          <w:b/>
          <w:color w:val="auto"/>
          <w:sz w:val="24"/>
          <w:highlight w:val="none"/>
          <w:lang w:val="en-US" w:eastAsia="zh-CN"/>
        </w:rPr>
        <w:t>7</w:t>
      </w:r>
      <w:r>
        <w:rPr>
          <w:rFonts w:hint="eastAsia"/>
          <w:b/>
          <w:color w:val="auto"/>
          <w:sz w:val="24"/>
          <w:highlight w:val="none"/>
        </w:rPr>
        <w:t>、</w:t>
      </w:r>
      <w:r>
        <w:rPr>
          <w:rFonts w:hint="eastAsia" w:ascii="宋体" w:hAnsi="宋体"/>
          <w:b/>
          <w:color w:val="auto"/>
          <w:sz w:val="24"/>
          <w:highlight w:val="none"/>
        </w:rPr>
        <w:t>磋商小组应当根据综合评分情况，按照评审得分由高到低顺序各包推荐3名成交候选供应商，并编写评审报告。</w:t>
      </w:r>
    </w:p>
    <w:p>
      <w:pPr>
        <w:spacing w:line="400" w:lineRule="exact"/>
        <w:ind w:firstLine="482" w:firstLineChars="200"/>
        <w:rPr>
          <w:b/>
          <w:color w:val="auto"/>
          <w:sz w:val="24"/>
          <w:highlight w:val="none"/>
        </w:rPr>
      </w:pPr>
      <w:r>
        <w:rPr>
          <w:rFonts w:hint="eastAsia"/>
          <w:b/>
          <w:color w:val="auto"/>
          <w:sz w:val="24"/>
          <w:highlight w:val="none"/>
          <w:lang w:val="en-US" w:eastAsia="zh-CN"/>
        </w:rPr>
        <w:t>8</w:t>
      </w:r>
      <w:r>
        <w:rPr>
          <w:rFonts w:hint="eastAsia" w:ascii="宋体" w:hAnsi="宋体"/>
          <w:b/>
          <w:color w:val="auto"/>
          <w:sz w:val="24"/>
          <w:highlight w:val="none"/>
        </w:rPr>
        <w:t>评审得分相同的，由磋商小组全体成员按照少数服从多数的原则，以记名投票方式表决。</w:t>
      </w:r>
    </w:p>
    <w:p>
      <w:pPr>
        <w:spacing w:line="400" w:lineRule="exact"/>
        <w:ind w:firstLine="315" w:firstLineChars="150"/>
        <w:rPr>
          <w:color w:val="auto"/>
          <w:highlight w:val="none"/>
        </w:rPr>
      </w:pPr>
    </w:p>
    <w:p>
      <w:pPr>
        <w:rPr>
          <w:color w:val="auto"/>
          <w:highlight w:val="none"/>
        </w:rPr>
      </w:pPr>
    </w:p>
    <w:p>
      <w:pPr>
        <w:rPr>
          <w:color w:val="auto"/>
          <w:highlight w:val="none"/>
        </w:rPr>
      </w:pPr>
    </w:p>
    <w:p>
      <w:pPr>
        <w:rPr>
          <w:color w:val="auto"/>
          <w:highlight w:val="none"/>
        </w:rPr>
      </w:pPr>
    </w:p>
    <w:sectPr>
      <w:pgSz w:w="11907" w:h="16840"/>
      <w:pgMar w:top="1304" w:right="1134" w:bottom="1304" w:left="1134" w:header="851" w:footer="851"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uKjSOwAQAA&#10;TgMAAA4AAAAAAAAAAQAgAAAAHgEAAGRycy9lMm9Eb2MueG1sUEsFBgAAAAAGAAYAWQEAAEAFAAAA&#10;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54BAA"/>
    <w:rsid w:val="00186AA3"/>
    <w:rsid w:val="002028B2"/>
    <w:rsid w:val="002B05BD"/>
    <w:rsid w:val="003815E1"/>
    <w:rsid w:val="00474C30"/>
    <w:rsid w:val="004D4B5C"/>
    <w:rsid w:val="005143FC"/>
    <w:rsid w:val="00673F06"/>
    <w:rsid w:val="00677938"/>
    <w:rsid w:val="00711427"/>
    <w:rsid w:val="008311A6"/>
    <w:rsid w:val="00902535"/>
    <w:rsid w:val="009135A6"/>
    <w:rsid w:val="00981CBA"/>
    <w:rsid w:val="009D699E"/>
    <w:rsid w:val="00BD55C9"/>
    <w:rsid w:val="00C1165C"/>
    <w:rsid w:val="00E2559A"/>
    <w:rsid w:val="00E467DB"/>
    <w:rsid w:val="00ED3829"/>
    <w:rsid w:val="00EF616B"/>
    <w:rsid w:val="00F04B45"/>
    <w:rsid w:val="00FD7D7E"/>
    <w:rsid w:val="00FF527C"/>
    <w:rsid w:val="011A5D75"/>
    <w:rsid w:val="01BC7BCB"/>
    <w:rsid w:val="01C74D81"/>
    <w:rsid w:val="02D1214E"/>
    <w:rsid w:val="043F4D9E"/>
    <w:rsid w:val="04514262"/>
    <w:rsid w:val="06054476"/>
    <w:rsid w:val="07773984"/>
    <w:rsid w:val="07846083"/>
    <w:rsid w:val="07B6796A"/>
    <w:rsid w:val="07E54BAA"/>
    <w:rsid w:val="08794A33"/>
    <w:rsid w:val="08BF03DE"/>
    <w:rsid w:val="0BDD3D40"/>
    <w:rsid w:val="0C324730"/>
    <w:rsid w:val="0CC2484E"/>
    <w:rsid w:val="0D856614"/>
    <w:rsid w:val="105C082C"/>
    <w:rsid w:val="1118047F"/>
    <w:rsid w:val="1243736F"/>
    <w:rsid w:val="146B33D0"/>
    <w:rsid w:val="14B94248"/>
    <w:rsid w:val="1504681E"/>
    <w:rsid w:val="18005CC0"/>
    <w:rsid w:val="181A67CA"/>
    <w:rsid w:val="1A4168F2"/>
    <w:rsid w:val="1C4C4ED4"/>
    <w:rsid w:val="1C775CE6"/>
    <w:rsid w:val="1CC72C30"/>
    <w:rsid w:val="1D2720C6"/>
    <w:rsid w:val="1D571DD5"/>
    <w:rsid w:val="1D5E02EE"/>
    <w:rsid w:val="1DED14B4"/>
    <w:rsid w:val="1F9F5801"/>
    <w:rsid w:val="2009254B"/>
    <w:rsid w:val="202E38F8"/>
    <w:rsid w:val="20B4350D"/>
    <w:rsid w:val="20D0120A"/>
    <w:rsid w:val="22736B2A"/>
    <w:rsid w:val="22CA287A"/>
    <w:rsid w:val="23A8530D"/>
    <w:rsid w:val="23D06E0B"/>
    <w:rsid w:val="24451580"/>
    <w:rsid w:val="24C436E3"/>
    <w:rsid w:val="283E7D31"/>
    <w:rsid w:val="28717F07"/>
    <w:rsid w:val="28E773C9"/>
    <w:rsid w:val="2A344C5C"/>
    <w:rsid w:val="2CDF6C55"/>
    <w:rsid w:val="2D5D7286"/>
    <w:rsid w:val="2D6A068F"/>
    <w:rsid w:val="2D783A39"/>
    <w:rsid w:val="2E4C7A65"/>
    <w:rsid w:val="2ED07719"/>
    <w:rsid w:val="2F0D3B8E"/>
    <w:rsid w:val="2F1E62D0"/>
    <w:rsid w:val="3094558E"/>
    <w:rsid w:val="30A94D91"/>
    <w:rsid w:val="30D46F14"/>
    <w:rsid w:val="32F07DC3"/>
    <w:rsid w:val="33081901"/>
    <w:rsid w:val="33D9730E"/>
    <w:rsid w:val="362D7299"/>
    <w:rsid w:val="38A421DD"/>
    <w:rsid w:val="39043A2B"/>
    <w:rsid w:val="3B3521CD"/>
    <w:rsid w:val="3E742BD6"/>
    <w:rsid w:val="3F5D634C"/>
    <w:rsid w:val="3F930510"/>
    <w:rsid w:val="411A4B22"/>
    <w:rsid w:val="4130059B"/>
    <w:rsid w:val="41565FCC"/>
    <w:rsid w:val="424D5C7A"/>
    <w:rsid w:val="44965A92"/>
    <w:rsid w:val="44B11514"/>
    <w:rsid w:val="46437418"/>
    <w:rsid w:val="46AE4E12"/>
    <w:rsid w:val="46D7079B"/>
    <w:rsid w:val="4728196B"/>
    <w:rsid w:val="48EF357F"/>
    <w:rsid w:val="492D37E4"/>
    <w:rsid w:val="4A3E0465"/>
    <w:rsid w:val="4B233359"/>
    <w:rsid w:val="4CDB244B"/>
    <w:rsid w:val="4D5D430A"/>
    <w:rsid w:val="4D7925B6"/>
    <w:rsid w:val="4E946AFD"/>
    <w:rsid w:val="4FBE37FB"/>
    <w:rsid w:val="501804AD"/>
    <w:rsid w:val="517309FF"/>
    <w:rsid w:val="529B2E8B"/>
    <w:rsid w:val="529E2048"/>
    <w:rsid w:val="531615C7"/>
    <w:rsid w:val="53BE740A"/>
    <w:rsid w:val="543D2B06"/>
    <w:rsid w:val="549B297F"/>
    <w:rsid w:val="54B04AC2"/>
    <w:rsid w:val="56124669"/>
    <w:rsid w:val="565925EF"/>
    <w:rsid w:val="57BE3094"/>
    <w:rsid w:val="57DA1807"/>
    <w:rsid w:val="593D0749"/>
    <w:rsid w:val="5A57053B"/>
    <w:rsid w:val="5BC66741"/>
    <w:rsid w:val="5C437A92"/>
    <w:rsid w:val="5C462117"/>
    <w:rsid w:val="5C942A92"/>
    <w:rsid w:val="5CF745A3"/>
    <w:rsid w:val="5DAF5306"/>
    <w:rsid w:val="5E4306D2"/>
    <w:rsid w:val="5ED55F84"/>
    <w:rsid w:val="5F0529B9"/>
    <w:rsid w:val="5FC721E3"/>
    <w:rsid w:val="61A5321A"/>
    <w:rsid w:val="61FE7D62"/>
    <w:rsid w:val="628D79CF"/>
    <w:rsid w:val="634A7C10"/>
    <w:rsid w:val="64937DC4"/>
    <w:rsid w:val="64AA7D6A"/>
    <w:rsid w:val="64E17DA9"/>
    <w:rsid w:val="650548AD"/>
    <w:rsid w:val="6528113E"/>
    <w:rsid w:val="656007C6"/>
    <w:rsid w:val="65FF4CC2"/>
    <w:rsid w:val="6669049E"/>
    <w:rsid w:val="668625B6"/>
    <w:rsid w:val="66D10549"/>
    <w:rsid w:val="677B5737"/>
    <w:rsid w:val="68C2412C"/>
    <w:rsid w:val="68E811BC"/>
    <w:rsid w:val="6A7457A1"/>
    <w:rsid w:val="6D160AEB"/>
    <w:rsid w:val="6D1D2E2C"/>
    <w:rsid w:val="6D8735C9"/>
    <w:rsid w:val="70D25B1D"/>
    <w:rsid w:val="70F80C84"/>
    <w:rsid w:val="71070D5A"/>
    <w:rsid w:val="716D47DB"/>
    <w:rsid w:val="73064FF7"/>
    <w:rsid w:val="735C5728"/>
    <w:rsid w:val="758B5FA6"/>
    <w:rsid w:val="77435EC5"/>
    <w:rsid w:val="77A50985"/>
    <w:rsid w:val="77F23637"/>
    <w:rsid w:val="79557C3B"/>
    <w:rsid w:val="7B2A7E59"/>
    <w:rsid w:val="7DDE497E"/>
    <w:rsid w:val="7ED4029B"/>
    <w:rsid w:val="7F4F5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4">
    <w:name w:val="List 3"/>
    <w:basedOn w:val="1"/>
    <w:qFormat/>
    <w:uiPriority w:val="0"/>
    <w:pPr>
      <w:ind w:left="100" w:leftChars="400" w:hanging="200" w:hangingChars="200"/>
    </w:pPr>
  </w:style>
  <w:style w:type="paragraph" w:styleId="5">
    <w:name w:val="Normal Indent"/>
    <w:basedOn w:val="1"/>
    <w:qFormat/>
    <w:uiPriority w:val="0"/>
    <w:pPr>
      <w:ind w:firstLine="420" w:firstLineChars="200"/>
    </w:pPr>
  </w:style>
  <w:style w:type="paragraph" w:styleId="6">
    <w:name w:val="caption"/>
    <w:basedOn w:val="1"/>
    <w:next w:val="1"/>
    <w:unhideWhenUsed/>
    <w:qFormat/>
    <w:uiPriority w:val="0"/>
    <w:pPr>
      <w:spacing w:before="152" w:after="160"/>
    </w:pPr>
    <w:rPr>
      <w:rFonts w:ascii="Arial" w:hAnsi="Arial" w:eastAsia="黑体" w:cs="Arial"/>
      <w:sz w:val="20"/>
      <w:szCs w:val="20"/>
    </w:rPr>
  </w:style>
  <w:style w:type="paragraph" w:styleId="7">
    <w:name w:val="annotation text"/>
    <w:basedOn w:val="1"/>
    <w:semiHidden/>
    <w:unhideWhenUsed/>
    <w:qFormat/>
    <w:uiPriority w:val="0"/>
    <w:pPr>
      <w:jc w:val="left"/>
    </w:pPr>
  </w:style>
  <w:style w:type="paragraph" w:styleId="8">
    <w:name w:val="Body Text"/>
    <w:basedOn w:val="1"/>
    <w:qFormat/>
    <w:uiPriority w:val="0"/>
    <w:pPr>
      <w:spacing w:after="120"/>
    </w:pPr>
    <w:rPr>
      <w:rFonts w:ascii="宋体" w:hAnsi="宋体"/>
      <w:kern w:val="0"/>
      <w:sz w:val="20"/>
    </w:rPr>
  </w:style>
  <w:style w:type="paragraph" w:styleId="9">
    <w:name w:val="List 2"/>
    <w:basedOn w:val="1"/>
    <w:qFormat/>
    <w:uiPriority w:val="0"/>
    <w:pPr>
      <w:ind w:left="100" w:leftChars="200" w:hanging="200" w:hangingChars="200"/>
    </w:p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qFormat/>
    <w:uiPriority w:val="0"/>
    <w:pPr>
      <w:tabs>
        <w:tab w:val="center" w:pos="4153"/>
        <w:tab w:val="right" w:pos="8306"/>
      </w:tabs>
      <w:snapToGrid w:val="0"/>
      <w:jc w:val="left"/>
    </w:pPr>
    <w:rPr>
      <w:rFonts w:ascii="宋体" w:hAnsi="宋体"/>
      <w:kern w:val="0"/>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360" w:lineRule="auto"/>
    </w:pPr>
    <w:rPr>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List 31"/>
    <w:basedOn w:val="1"/>
    <w:qFormat/>
    <w:uiPriority w:val="0"/>
    <w:pPr>
      <w:ind w:left="100" w:leftChars="400" w:hanging="200" w:hangingChars="200"/>
    </w:pPr>
    <w:rPr>
      <w:rFonts w:ascii="Calibri" w:hAnsi="Calibri" w:eastAsia="宋体" w:cs="Times New Roman"/>
      <w:szCs w:val="20"/>
    </w:rPr>
  </w:style>
  <w:style w:type="paragraph" w:customStyle="1" w:styleId="21">
    <w:name w:val="Body Text Indent 31"/>
    <w:basedOn w:val="1"/>
    <w:qFormat/>
    <w:uiPriority w:val="0"/>
    <w:pPr>
      <w:spacing w:line="360" w:lineRule="auto"/>
      <w:ind w:firstLine="480" w:firstLineChars="200"/>
    </w:pPr>
    <w:rPr>
      <w:rFonts w:hint="eastAsia" w:ascii="宋体" w:hAnsi="Calibri" w:eastAsia="宋体" w:cs="Times New Roman"/>
      <w:sz w:val="24"/>
      <w:szCs w:val="20"/>
    </w:rPr>
  </w:style>
  <w:style w:type="paragraph" w:customStyle="1" w:styleId="22">
    <w:name w:val="TOA Heading1"/>
    <w:basedOn w:val="1"/>
    <w:next w:val="1"/>
    <w:qFormat/>
    <w:uiPriority w:val="0"/>
    <w:pPr>
      <w:spacing w:before="120"/>
    </w:pPr>
    <w:rPr>
      <w:rFonts w:ascii="Arial" w:hAnsi="Arial" w:eastAsia="宋体" w:cs="Times New Roman"/>
      <w:sz w:val="24"/>
      <w:szCs w:val="20"/>
    </w:rPr>
  </w:style>
  <w:style w:type="character" w:customStyle="1" w:styleId="23">
    <w:name w:val="页眉 字符"/>
    <w:basedOn w:val="18"/>
    <w:link w:val="12"/>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3300</Words>
  <Characters>18812</Characters>
  <Lines>156</Lines>
  <Paragraphs>44</Paragraphs>
  <TotalTime>38</TotalTime>
  <ScaleCrop>false</ScaleCrop>
  <LinksUpToDate>false</LinksUpToDate>
  <CharactersWithSpaces>22068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2017-05-17T10:04:00Z</dcterms:created>
  <dc:creator>Administrator</dc:creator>
  <cp:lastModifiedBy>Administrator</cp:lastModifiedBy>
  <dcterms:modified xsi:type="dcterms:W3CDTF">2019-12-19T12:05:22Z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